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19" w:rsidRPr="00394119" w:rsidRDefault="00F0626A" w:rsidP="00FB7B7D">
      <w:pPr>
        <w:pStyle w:val="berschrift1"/>
        <w:numPr>
          <w:ilvl w:val="0"/>
          <w:numId w:val="0"/>
        </w:numPr>
        <w:ind w:left="432" w:hanging="432"/>
        <w:jc w:val="center"/>
        <w:rPr>
          <w:sz w:val="40"/>
          <w:szCs w:val="40"/>
          <w:u w:val="single"/>
        </w:rPr>
      </w:pPr>
      <w:r>
        <w:rPr>
          <w:noProof/>
          <w:sz w:val="40"/>
          <w:szCs w:val="40"/>
          <w:u w:val="single"/>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69.6pt;width:462.45pt;height:100.6pt;z-index:251660288;mso-width-relative:margin;mso-height-relative:margin" fillcolor="white [3201]" strokecolor="#4bacc6 [3208]" strokeweight="1pt">
            <v:stroke dashstyle="dash"/>
            <v:shadow color="#868686"/>
            <v:textbox style="mso-next-textbox:#_x0000_s1027">
              <w:txbxContent>
                <w:p w:rsidR="00394119" w:rsidRPr="00F73877" w:rsidRDefault="00394119" w:rsidP="00394119">
                  <w:pPr>
                    <w:rPr>
                      <w:color w:val="auto"/>
                    </w:rPr>
                  </w:pPr>
                  <w:r w:rsidRPr="00F73877">
                    <w:rPr>
                      <w:color w:val="auto"/>
                    </w:rPr>
                    <w:t xml:space="preserve">In diesem Versuch soll Bronze in seine Bestandteile Kupfer und Zinn zerlegt werden. Zinn soll dabei durch die Leuchtprobe nachgewiesen werden. Auf  Grund der Verwendung von Salzsäure und der Durchführung des Experimentes unter dem Abzug ist dieser Versuch als Lehrerversuch geplant. Die </w:t>
                  </w:r>
                  <w:proofErr w:type="spellStart"/>
                  <w:r w:rsidRPr="00F73877">
                    <w:rPr>
                      <w:color w:val="auto"/>
                    </w:rPr>
                    <w:t>SuS</w:t>
                  </w:r>
                  <w:proofErr w:type="spellEnd"/>
                  <w:r w:rsidRPr="00F73877">
                    <w:rPr>
                      <w:color w:val="auto"/>
                    </w:rPr>
                    <w:t xml:space="preserve"> sollten Vorkenntnisse über die chemische Reaktion mitbringen, um später eine Abgrenzung zwischen chemischem Reaktionsprodukt und Legierung zu machen.</w:t>
                  </w:r>
                </w:p>
              </w:txbxContent>
            </v:textbox>
            <w10:wrap type="square"/>
          </v:shape>
        </w:pict>
      </w:r>
      <w:bookmarkStart w:id="0" w:name="_Toc363110458"/>
      <w:r w:rsidR="00394119" w:rsidRPr="00394119">
        <w:rPr>
          <w:sz w:val="40"/>
          <w:szCs w:val="40"/>
          <w:u w:val="single"/>
        </w:rPr>
        <w:t>V 3 – Zersetzung von Bronze</w:t>
      </w:r>
      <w:bookmarkEnd w:id="0"/>
    </w:p>
    <w:p w:rsidR="00394119" w:rsidRDefault="00394119" w:rsidP="00394119"/>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394119" w:rsidRPr="009C5E28" w:rsidTr="00E958AB">
        <w:tc>
          <w:tcPr>
            <w:tcW w:w="9322" w:type="dxa"/>
            <w:gridSpan w:val="9"/>
            <w:shd w:val="clear" w:color="auto" w:fill="4F81BD"/>
            <w:vAlign w:val="center"/>
          </w:tcPr>
          <w:p w:rsidR="00394119" w:rsidRPr="009C5E28" w:rsidRDefault="00394119" w:rsidP="00E958AB">
            <w:pPr>
              <w:spacing w:after="0"/>
              <w:jc w:val="center"/>
              <w:rPr>
                <w:b/>
                <w:bCs/>
              </w:rPr>
            </w:pPr>
            <w:r w:rsidRPr="009C5E28">
              <w:rPr>
                <w:b/>
                <w:bCs/>
              </w:rPr>
              <w:t>Gefahrenstoffe</w:t>
            </w:r>
          </w:p>
        </w:tc>
      </w:tr>
      <w:tr w:rsidR="00394119" w:rsidRPr="00FB7B7D" w:rsidTr="00E958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94119" w:rsidRPr="00FB7B7D" w:rsidRDefault="00394119" w:rsidP="00E958AB">
            <w:pPr>
              <w:spacing w:after="0" w:line="276" w:lineRule="auto"/>
              <w:jc w:val="center"/>
              <w:rPr>
                <w:rFonts w:asciiTheme="majorHAnsi" w:hAnsiTheme="majorHAnsi"/>
                <w:b/>
                <w:bCs/>
              </w:rPr>
            </w:pPr>
            <w:r w:rsidRPr="00FB7B7D">
              <w:rPr>
                <w:rFonts w:asciiTheme="majorHAnsi" w:hAnsiTheme="majorHAnsi"/>
              </w:rPr>
              <w:t>Zink</w:t>
            </w:r>
          </w:p>
        </w:tc>
        <w:tc>
          <w:tcPr>
            <w:tcW w:w="3177" w:type="dxa"/>
            <w:gridSpan w:val="3"/>
            <w:tcBorders>
              <w:top w:val="single" w:sz="8" w:space="0" w:color="4F81BD"/>
              <w:bottom w:val="single" w:sz="8" w:space="0" w:color="4F81BD"/>
            </w:tcBorders>
            <w:shd w:val="clear" w:color="auto" w:fill="auto"/>
            <w:vAlign w:val="center"/>
          </w:tcPr>
          <w:p w:rsidR="00394119" w:rsidRPr="00FB7B7D" w:rsidRDefault="00394119" w:rsidP="00E958AB">
            <w:pPr>
              <w:spacing w:after="0"/>
              <w:jc w:val="center"/>
              <w:rPr>
                <w:rFonts w:asciiTheme="majorHAnsi" w:hAnsiTheme="majorHAnsi"/>
              </w:rPr>
            </w:pPr>
            <w:r w:rsidRPr="00FB7B7D">
              <w:rPr>
                <w:rFonts w:asciiTheme="majorHAnsi" w:hAnsiTheme="majorHAnsi"/>
              </w:rPr>
              <w:t>H: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94119" w:rsidRPr="00FB7B7D" w:rsidRDefault="00394119" w:rsidP="00E958AB">
            <w:pPr>
              <w:spacing w:after="0"/>
              <w:jc w:val="center"/>
              <w:rPr>
                <w:rFonts w:asciiTheme="majorHAnsi" w:hAnsiTheme="majorHAnsi"/>
              </w:rPr>
            </w:pPr>
            <w:r w:rsidRPr="00FB7B7D">
              <w:rPr>
                <w:rFonts w:asciiTheme="majorHAnsi" w:hAnsiTheme="majorHAnsi"/>
              </w:rPr>
              <w:t>P: 273</w:t>
            </w:r>
          </w:p>
        </w:tc>
      </w:tr>
      <w:tr w:rsidR="00394119" w:rsidRPr="00FB7B7D" w:rsidTr="00E958AB">
        <w:trPr>
          <w:trHeight w:val="434"/>
        </w:trPr>
        <w:tc>
          <w:tcPr>
            <w:tcW w:w="3027" w:type="dxa"/>
            <w:gridSpan w:val="3"/>
            <w:shd w:val="clear" w:color="auto" w:fill="auto"/>
            <w:vAlign w:val="center"/>
          </w:tcPr>
          <w:p w:rsidR="00394119" w:rsidRPr="00FB7B7D" w:rsidRDefault="00394119" w:rsidP="00E958AB">
            <w:pPr>
              <w:spacing w:after="0" w:line="276" w:lineRule="auto"/>
              <w:jc w:val="center"/>
              <w:rPr>
                <w:rFonts w:asciiTheme="majorHAnsi" w:hAnsiTheme="majorHAnsi"/>
                <w:bCs/>
              </w:rPr>
            </w:pPr>
            <w:r w:rsidRPr="00FB7B7D">
              <w:rPr>
                <w:rFonts w:asciiTheme="majorHAnsi" w:hAnsiTheme="majorHAnsi"/>
                <w:color w:val="auto"/>
              </w:rPr>
              <w:t>Salzsäure</w:t>
            </w:r>
          </w:p>
        </w:tc>
        <w:tc>
          <w:tcPr>
            <w:tcW w:w="3177" w:type="dxa"/>
            <w:gridSpan w:val="3"/>
            <w:shd w:val="clear" w:color="auto" w:fill="auto"/>
            <w:vAlign w:val="center"/>
          </w:tcPr>
          <w:p w:rsidR="00394119" w:rsidRPr="00FB7B7D" w:rsidRDefault="00394119" w:rsidP="00E958AB">
            <w:pPr>
              <w:pStyle w:val="Beschriftung"/>
              <w:spacing w:after="0"/>
              <w:jc w:val="center"/>
              <w:rPr>
                <w:rFonts w:asciiTheme="majorHAnsi" w:hAnsiTheme="majorHAnsi"/>
                <w:sz w:val="22"/>
                <w:szCs w:val="22"/>
              </w:rPr>
            </w:pPr>
            <w:r w:rsidRPr="00FB7B7D">
              <w:rPr>
                <w:rFonts w:asciiTheme="majorHAnsi" w:hAnsiTheme="majorHAnsi"/>
                <w:sz w:val="22"/>
                <w:szCs w:val="22"/>
              </w:rPr>
              <w:t>H: 314-335-290</w:t>
            </w:r>
          </w:p>
        </w:tc>
        <w:tc>
          <w:tcPr>
            <w:tcW w:w="3118" w:type="dxa"/>
            <w:gridSpan w:val="3"/>
            <w:shd w:val="clear" w:color="auto" w:fill="auto"/>
            <w:vAlign w:val="center"/>
          </w:tcPr>
          <w:p w:rsidR="00394119" w:rsidRPr="00FB7B7D" w:rsidRDefault="00394119" w:rsidP="00E958AB">
            <w:pPr>
              <w:pStyle w:val="Beschriftung"/>
              <w:spacing w:after="0"/>
              <w:jc w:val="center"/>
              <w:rPr>
                <w:rFonts w:asciiTheme="majorHAnsi" w:hAnsiTheme="majorHAnsi"/>
                <w:sz w:val="22"/>
                <w:szCs w:val="22"/>
              </w:rPr>
            </w:pPr>
            <w:r w:rsidRPr="00FB7B7D">
              <w:rPr>
                <w:rFonts w:asciiTheme="majorHAnsi" w:hAnsiTheme="majorHAnsi"/>
                <w:sz w:val="22"/>
                <w:szCs w:val="22"/>
              </w:rPr>
              <w:t>P: 280-</w:t>
            </w:r>
            <w:r w:rsidRPr="00FB7B7D">
              <w:rPr>
                <w:rFonts w:asciiTheme="majorHAnsi" w:hAnsi="Times New Roman" w:cs="Times New Roman"/>
                <w:sz w:val="22"/>
                <w:szCs w:val="22"/>
              </w:rPr>
              <w:t>​</w:t>
            </w:r>
            <w:r w:rsidRPr="00FB7B7D">
              <w:rPr>
                <w:rFonts w:asciiTheme="majorHAnsi" w:hAnsiTheme="majorHAnsi"/>
                <w:sz w:val="22"/>
                <w:szCs w:val="22"/>
              </w:rPr>
              <w:t>301+330+331, 305+351+338</w:t>
            </w:r>
          </w:p>
        </w:tc>
      </w:tr>
      <w:tr w:rsidR="00394119" w:rsidRPr="009C5E28" w:rsidTr="00E958AB">
        <w:tc>
          <w:tcPr>
            <w:tcW w:w="1009" w:type="dxa"/>
            <w:tcBorders>
              <w:top w:val="single" w:sz="8" w:space="0" w:color="4F81BD"/>
              <w:left w:val="single" w:sz="8" w:space="0" w:color="4F81BD"/>
              <w:bottom w:val="single" w:sz="8" w:space="0" w:color="4F81BD"/>
            </w:tcBorders>
            <w:shd w:val="clear" w:color="auto" w:fill="auto"/>
            <w:vAlign w:val="center"/>
          </w:tcPr>
          <w:p w:rsidR="00394119" w:rsidRPr="009C5E28" w:rsidRDefault="00394119" w:rsidP="00E958AB">
            <w:pPr>
              <w:spacing w:after="0"/>
              <w:jc w:val="center"/>
              <w:rPr>
                <w:b/>
                <w:bCs/>
              </w:rPr>
            </w:pPr>
            <w:r>
              <w:rPr>
                <w:b/>
                <w:noProof/>
                <w:lang w:eastAsia="de-DE"/>
              </w:rPr>
              <w:drawing>
                <wp:inline distT="0" distB="0" distL="0" distR="0">
                  <wp:extent cx="504190" cy="504190"/>
                  <wp:effectExtent l="0" t="0" r="0" b="0"/>
                  <wp:docPr id="3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94119" w:rsidRPr="009C5E28" w:rsidRDefault="00394119" w:rsidP="00E958AB">
            <w:pPr>
              <w:spacing w:after="0"/>
              <w:jc w:val="center"/>
            </w:pPr>
            <w:r>
              <w:rPr>
                <w:noProof/>
                <w:lang w:eastAsia="de-DE"/>
              </w:rPr>
              <w:drawing>
                <wp:inline distT="0" distB="0" distL="0" distR="0">
                  <wp:extent cx="504190" cy="504190"/>
                  <wp:effectExtent l="0" t="0" r="0" b="0"/>
                  <wp:docPr id="3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94119" w:rsidRPr="009C5E28" w:rsidRDefault="00394119" w:rsidP="00E958AB">
            <w:pPr>
              <w:spacing w:after="0"/>
              <w:jc w:val="center"/>
            </w:pPr>
            <w:r>
              <w:rPr>
                <w:noProof/>
                <w:lang w:eastAsia="de-DE"/>
              </w:rPr>
              <w:drawing>
                <wp:inline distT="0" distB="0" distL="0" distR="0">
                  <wp:extent cx="504190" cy="504190"/>
                  <wp:effectExtent l="0" t="0" r="0" b="0"/>
                  <wp:docPr id="3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94119" w:rsidRPr="009C5E28" w:rsidRDefault="00394119" w:rsidP="00E958AB">
            <w:pPr>
              <w:spacing w:after="0"/>
              <w:jc w:val="center"/>
            </w:pPr>
            <w:r>
              <w:rPr>
                <w:noProof/>
                <w:lang w:eastAsia="de-DE"/>
              </w:rPr>
              <w:drawing>
                <wp:inline distT="0" distB="0" distL="0" distR="0">
                  <wp:extent cx="504190" cy="504190"/>
                  <wp:effectExtent l="0" t="0" r="0" b="0"/>
                  <wp:docPr id="3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94119" w:rsidRPr="009C5E28" w:rsidRDefault="00394119" w:rsidP="00E958AB">
            <w:pPr>
              <w:spacing w:after="0"/>
              <w:jc w:val="center"/>
            </w:pPr>
            <w:r>
              <w:rPr>
                <w:noProof/>
                <w:lang w:eastAsia="de-DE"/>
              </w:rPr>
              <w:drawing>
                <wp:inline distT="0" distB="0" distL="0" distR="0">
                  <wp:extent cx="504190" cy="504190"/>
                  <wp:effectExtent l="0" t="0" r="0" b="0"/>
                  <wp:docPr id="3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94119" w:rsidRPr="009C5E28" w:rsidRDefault="00394119" w:rsidP="00E958AB">
            <w:pPr>
              <w:spacing w:after="0"/>
              <w:jc w:val="center"/>
            </w:pPr>
            <w:r>
              <w:rPr>
                <w:noProof/>
                <w:lang w:eastAsia="de-DE"/>
              </w:rPr>
              <w:drawing>
                <wp:inline distT="0" distB="0" distL="0" distR="0">
                  <wp:extent cx="504190" cy="504190"/>
                  <wp:effectExtent l="0" t="0" r="0" b="0"/>
                  <wp:docPr id="4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94119" w:rsidRPr="009C5E28" w:rsidRDefault="00394119" w:rsidP="00E958AB">
            <w:pPr>
              <w:spacing w:after="0"/>
              <w:jc w:val="center"/>
            </w:pPr>
            <w:r>
              <w:rPr>
                <w:noProof/>
                <w:lang w:eastAsia="de-DE"/>
              </w:rPr>
              <w:drawing>
                <wp:inline distT="0" distB="0" distL="0" distR="0">
                  <wp:extent cx="504190" cy="504190"/>
                  <wp:effectExtent l="0" t="0" r="0" b="0"/>
                  <wp:docPr id="4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94119" w:rsidRPr="009C5E28" w:rsidRDefault="00394119" w:rsidP="00E958AB">
            <w:pPr>
              <w:spacing w:after="0"/>
              <w:jc w:val="center"/>
            </w:pPr>
            <w:r>
              <w:rPr>
                <w:noProof/>
                <w:lang w:eastAsia="de-DE"/>
              </w:rPr>
              <w:drawing>
                <wp:inline distT="0" distB="0" distL="0" distR="0">
                  <wp:extent cx="511175" cy="511175"/>
                  <wp:effectExtent l="0" t="0" r="0" b="0"/>
                  <wp:docPr id="4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94119" w:rsidRPr="009C5E28" w:rsidRDefault="00394119" w:rsidP="00E958AB">
            <w:pPr>
              <w:spacing w:after="0"/>
              <w:jc w:val="center"/>
            </w:pPr>
            <w:r>
              <w:rPr>
                <w:noProof/>
                <w:lang w:eastAsia="de-DE"/>
              </w:rPr>
              <w:drawing>
                <wp:inline distT="0" distB="0" distL="0" distR="0">
                  <wp:extent cx="504190" cy="504190"/>
                  <wp:effectExtent l="19050" t="0" r="0" b="0"/>
                  <wp:docPr id="4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r>
    </w:tbl>
    <w:p w:rsidR="00394119" w:rsidRDefault="00394119" w:rsidP="00394119">
      <w:pPr>
        <w:tabs>
          <w:tab w:val="left" w:pos="1701"/>
          <w:tab w:val="left" w:pos="1985"/>
        </w:tabs>
        <w:ind w:left="1980" w:hanging="1980"/>
      </w:pPr>
    </w:p>
    <w:p w:rsidR="00394119" w:rsidRDefault="00394119" w:rsidP="00394119">
      <w:pPr>
        <w:tabs>
          <w:tab w:val="left" w:pos="1701"/>
          <w:tab w:val="left" w:pos="1985"/>
        </w:tabs>
        <w:ind w:left="1980" w:hanging="1980"/>
      </w:pPr>
      <w:r>
        <w:t xml:space="preserve">Materialien: </w:t>
      </w:r>
      <w:r>
        <w:tab/>
      </w:r>
      <w:r>
        <w:tab/>
        <w:t>Bunsenbrenner, Dreifuß, Erlenmeyerkolben (100 mL), Porzellanschale, Reagenzglas</w:t>
      </w:r>
    </w:p>
    <w:p w:rsidR="00394119" w:rsidRPr="00ED07C2" w:rsidRDefault="00394119" w:rsidP="00394119">
      <w:pPr>
        <w:tabs>
          <w:tab w:val="left" w:pos="1701"/>
          <w:tab w:val="left" w:pos="1985"/>
        </w:tabs>
        <w:ind w:left="1980" w:hanging="1980"/>
      </w:pPr>
      <w:r>
        <w:t>Chemikalien:</w:t>
      </w:r>
      <w:r>
        <w:tab/>
      </w:r>
      <w:r>
        <w:tab/>
        <w:t>(Zinn-)Bronze, halbkonzentrierte Salzsäure, Zink, demineralisiertes Wasser</w:t>
      </w:r>
    </w:p>
    <w:p w:rsidR="00394119" w:rsidRDefault="00394119" w:rsidP="00394119">
      <w:pPr>
        <w:tabs>
          <w:tab w:val="left" w:pos="1701"/>
          <w:tab w:val="left" w:pos="1985"/>
        </w:tabs>
        <w:ind w:left="1980" w:hanging="1980"/>
      </w:pPr>
      <w:r>
        <w:t xml:space="preserve">Durchführung 1: </w:t>
      </w:r>
      <w:r>
        <w:tab/>
      </w:r>
      <w:r>
        <w:tab/>
      </w:r>
      <w:r>
        <w:tab/>
        <w:t>Ein Stück Bronze wird in einen Erlenmeyerkolben gegeben. Dazu wird etwas halbkonzentrierte Salzsäure gegeben, bis das Stück vollständig bedeckt ist. Nun wird der Erlenmeyerkolben etwas erhitzt.</w:t>
      </w:r>
    </w:p>
    <w:p w:rsidR="00394119" w:rsidRDefault="00394119" w:rsidP="00394119">
      <w:pPr>
        <w:tabs>
          <w:tab w:val="left" w:pos="1701"/>
          <w:tab w:val="left" w:pos="1985"/>
        </w:tabs>
        <w:ind w:left="1980" w:hanging="1980"/>
      </w:pPr>
      <w:r>
        <w:t>Beobachtung 1:</w:t>
      </w:r>
      <w:r>
        <w:tab/>
      </w:r>
      <w:r>
        <w:tab/>
      </w:r>
      <w:r>
        <w:tab/>
        <w:t>Die Bronze löst sich unter Gasbildung langsam auf. Der zurückbleibende Feststoff ist rotbraun.</w:t>
      </w:r>
    </w:p>
    <w:p w:rsidR="00394119" w:rsidRDefault="00394119" w:rsidP="00394119">
      <w:pPr>
        <w:tabs>
          <w:tab w:val="left" w:pos="1701"/>
          <w:tab w:val="left" w:pos="1985"/>
        </w:tabs>
        <w:ind w:left="1980" w:hanging="1980"/>
      </w:pPr>
      <w:r>
        <w:t xml:space="preserve">Durchführung 2: </w:t>
      </w:r>
      <w:r>
        <w:tab/>
      </w:r>
      <w:r>
        <w:tab/>
      </w:r>
      <w:r>
        <w:tab/>
        <w:t xml:space="preserve">Der zurückbleibende Feststoff wird aus der Lösung entfernt. Die Lösung wird nun zusammen mit einigen Stücken Zinkgranulat in eine Porzellanschale gegeben. In ein Reagenzglas werden einige Milliliter demineralisiertes Wasser gegeben und in die Porzellanschale getaucht. Dieses wird nun kurz in die </w:t>
      </w:r>
      <w:proofErr w:type="spellStart"/>
      <w:r>
        <w:t>entleuchtete</w:t>
      </w:r>
      <w:proofErr w:type="spellEnd"/>
      <w:r>
        <w:t xml:space="preserve"> Brennflamme gehalten.</w:t>
      </w:r>
    </w:p>
    <w:p w:rsidR="00394119" w:rsidRDefault="00394119" w:rsidP="00394119">
      <w:pPr>
        <w:tabs>
          <w:tab w:val="left" w:pos="1701"/>
          <w:tab w:val="left" w:pos="1985"/>
        </w:tabs>
        <w:ind w:left="1980" w:hanging="1980"/>
      </w:pPr>
      <w:r>
        <w:t>Beobachtung 2:</w:t>
      </w:r>
      <w:r>
        <w:tab/>
      </w:r>
      <w:r>
        <w:tab/>
      </w:r>
      <w:r>
        <w:tab/>
        <w:t>Es ist eine blaue Fluoreszenz zu beobachten.</w:t>
      </w:r>
    </w:p>
    <w:p w:rsidR="00394119" w:rsidRDefault="00394119" w:rsidP="00394119">
      <w:pPr>
        <w:keepNext/>
        <w:tabs>
          <w:tab w:val="left" w:pos="1701"/>
          <w:tab w:val="left" w:pos="1985"/>
        </w:tabs>
        <w:ind w:left="1980" w:hanging="1980"/>
        <w:jc w:val="center"/>
      </w:pPr>
      <w:r>
        <w:rPr>
          <w:noProof/>
          <w:lang w:eastAsia="de-DE"/>
        </w:rPr>
        <w:lastRenderedPageBreak/>
        <w:drawing>
          <wp:inline distT="0" distB="0" distL="0" distR="0">
            <wp:extent cx="1870135" cy="2493515"/>
            <wp:effectExtent l="19050" t="0" r="0" b="0"/>
            <wp:docPr id="4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tretch>
                      <a:fillRect/>
                    </a:stretch>
                  </pic:blipFill>
                  <pic:spPr bwMode="auto">
                    <a:xfrm>
                      <a:off x="0" y="0"/>
                      <a:ext cx="1873177" cy="2497571"/>
                    </a:xfrm>
                    <a:prstGeom prst="rect">
                      <a:avLst/>
                    </a:prstGeom>
                    <a:noFill/>
                    <a:ln w="9525">
                      <a:noFill/>
                      <a:miter lim="800000"/>
                      <a:headEnd/>
                      <a:tailEnd/>
                    </a:ln>
                  </pic:spPr>
                </pic:pic>
              </a:graphicData>
            </a:graphic>
          </wp:inline>
        </w:drawing>
      </w:r>
    </w:p>
    <w:p w:rsidR="00394119" w:rsidRDefault="00394119" w:rsidP="00FB7B7D">
      <w:pPr>
        <w:pStyle w:val="Beschriftung"/>
        <w:ind w:left="2832"/>
        <w:jc w:val="left"/>
      </w:pPr>
      <w:r>
        <w:t xml:space="preserve">Abb. 4 - </w:t>
      </w:r>
      <w:r>
        <w:rPr>
          <w:noProof/>
        </w:rPr>
        <w:t xml:space="preserve"> Aufbau Leuchtprobe.</w:t>
      </w:r>
    </w:p>
    <w:p w:rsidR="00394119" w:rsidRDefault="00394119" w:rsidP="00394119">
      <w:pPr>
        <w:tabs>
          <w:tab w:val="left" w:pos="1701"/>
          <w:tab w:val="left" w:pos="1985"/>
        </w:tabs>
        <w:ind w:left="1980" w:hanging="1980"/>
      </w:pPr>
      <w:r>
        <w:t>Deutung:</w:t>
      </w:r>
      <w:r>
        <w:tab/>
      </w:r>
      <w:r>
        <w:tab/>
        <w:t xml:space="preserve">Das Zinn aus der Bronze löst sich in der Salzsäure. Der zurückbleibende Feststoff ist Kupfer. </w:t>
      </w:r>
    </w:p>
    <w:p w:rsidR="00394119" w:rsidRDefault="00394119" w:rsidP="00394119">
      <w:pPr>
        <w:tabs>
          <w:tab w:val="left" w:pos="1701"/>
          <w:tab w:val="left" w:pos="1985"/>
        </w:tabs>
        <w:ind w:left="1980" w:hanging="1980"/>
      </w:pPr>
      <w:r>
        <w:t xml:space="preserve">Entsorgung: </w:t>
      </w:r>
      <w:r>
        <w:tab/>
      </w:r>
      <w:r>
        <w:tab/>
        <w:t>Der übrigbleibende Feststoff kann im Mülleimer entsorgt werden. Die Lösung in der Porzellanschale kommt in den Schwermetallbehälter.</w:t>
      </w:r>
    </w:p>
    <w:p w:rsidR="00394119" w:rsidRDefault="00394119" w:rsidP="00394119">
      <w:pPr>
        <w:tabs>
          <w:tab w:val="left" w:pos="1701"/>
          <w:tab w:val="left" w:pos="1985"/>
        </w:tabs>
        <w:ind w:left="1980" w:hanging="1980"/>
      </w:pPr>
      <w:r>
        <w:t xml:space="preserve">Literatur: </w:t>
      </w:r>
      <w:r>
        <w:tab/>
      </w:r>
      <w:r>
        <w:tab/>
      </w:r>
      <w:r w:rsidRPr="00770E9B">
        <w:t>http://www.chemieunterricht.de/dc2/tip/12_08.htm</w:t>
      </w:r>
      <w:r>
        <w:t xml:space="preserve"> zuletzt abgerufen am 30.07.13.</w:t>
      </w:r>
    </w:p>
    <w:p w:rsidR="00394119" w:rsidRDefault="00F0626A" w:rsidP="00394119">
      <w:pPr>
        <w:tabs>
          <w:tab w:val="left" w:pos="1701"/>
          <w:tab w:val="left" w:pos="1985"/>
        </w:tabs>
        <w:ind w:left="1980" w:hanging="1980"/>
      </w:pPr>
      <w:r>
        <w:pict>
          <v:shape id="_x0000_s1028" type="#_x0000_t202" style="width:462.45pt;height:162.7pt;mso-position-horizontal-relative:char;mso-position-vertical-relative:line;mso-width-relative:margin;mso-height-relative:margin" fillcolor="white [3201]" strokecolor="#c0504d [3205]" strokeweight="1pt">
            <v:stroke dashstyle="dash"/>
            <v:shadow color="#868686"/>
            <v:textbox style="mso-next-textbox:#_x0000_s1028">
              <w:txbxContent>
                <w:p w:rsidR="00394119" w:rsidRPr="00F73877" w:rsidRDefault="00394119" w:rsidP="00394119">
                  <w:pPr>
                    <w:rPr>
                      <w:color w:val="auto"/>
                    </w:rPr>
                  </w:pPr>
                  <w:r w:rsidRPr="00F73877">
                    <w:rPr>
                      <w:color w:val="auto"/>
                    </w:rPr>
                    <w:t xml:space="preserve">Dieser Versuch eignet sich gut dazu, um deutlich zu machen, dass es sich bei Bronze tatsächlich nur um ein Gemisch und nicht um ein Reaktionsprodukt handelt. Zudem lernen die </w:t>
                  </w:r>
                  <w:proofErr w:type="spellStart"/>
                  <w:r w:rsidRPr="00F73877">
                    <w:rPr>
                      <w:color w:val="auto"/>
                    </w:rPr>
                    <w:t>SuS</w:t>
                  </w:r>
                  <w:proofErr w:type="spellEnd"/>
                  <w:r w:rsidRPr="00F73877">
                    <w:rPr>
                      <w:color w:val="auto"/>
                    </w:rPr>
                    <w:t xml:space="preserve"> eine weiter</w:t>
                  </w:r>
                  <w:r>
                    <w:rPr>
                      <w:color w:val="auto"/>
                    </w:rPr>
                    <w:t>e</w:t>
                  </w:r>
                  <w:r w:rsidRPr="00F73877">
                    <w:rPr>
                      <w:color w:val="auto"/>
                    </w:rPr>
                    <w:t xml:space="preserve"> Nachweisreaktion kennen, obgl</w:t>
                  </w:r>
                  <w:r>
                    <w:rPr>
                      <w:color w:val="auto"/>
                    </w:rPr>
                    <w:t>eich diese möglicherweise nicht</w:t>
                  </w:r>
                  <w:r w:rsidRPr="00F73877">
                    <w:rPr>
                      <w:color w:val="auto"/>
                    </w:rPr>
                    <w:t xml:space="preserve"> so wichtig</w:t>
                  </w:r>
                  <w:r>
                    <w:rPr>
                      <w:color w:val="auto"/>
                    </w:rPr>
                    <w:t xml:space="preserve"> ist</w:t>
                  </w:r>
                  <w:r w:rsidRPr="00F73877">
                    <w:rPr>
                      <w:color w:val="auto"/>
                    </w:rPr>
                    <w:t xml:space="preserve"> wie die Nachweisreaktionen von z.B. Kohlenstoffdioxid. Der Nachweis sollte zudem auch an einer Blindprobe demonstriert werden, damit die </w:t>
                  </w:r>
                  <w:proofErr w:type="spellStart"/>
                  <w:r w:rsidRPr="00F73877">
                    <w:rPr>
                      <w:color w:val="auto"/>
                    </w:rPr>
                    <w:t>SuS</w:t>
                  </w:r>
                  <w:proofErr w:type="spellEnd"/>
                  <w:r w:rsidRPr="00F73877">
                    <w:rPr>
                      <w:color w:val="auto"/>
                    </w:rPr>
                    <w:t xml:space="preserve"> überprüfen können, ob dies tatsächlich der Nachweis für Zinn ist. </w:t>
                  </w:r>
                  <w:r>
                    <w:rPr>
                      <w:color w:val="auto"/>
                    </w:rPr>
                    <w:t xml:space="preserve">Eigentlich werden mit dieser Probe nur die Zinn-Ionen nachgewiesen. Da die </w:t>
                  </w:r>
                  <w:proofErr w:type="spellStart"/>
                  <w:r>
                    <w:rPr>
                      <w:color w:val="auto"/>
                    </w:rPr>
                    <w:t>SuS</w:t>
                  </w:r>
                  <w:proofErr w:type="spellEnd"/>
                  <w:r>
                    <w:rPr>
                      <w:color w:val="auto"/>
                    </w:rPr>
                    <w:t xml:space="preserve"> Ionen aber noch nicht kennen, wird hier vereinfacht von Zinn gesprochen. </w:t>
                  </w:r>
                  <w:r w:rsidRPr="00F73877">
                    <w:rPr>
                      <w:color w:val="auto"/>
                    </w:rPr>
                    <w:t>Aus Sicherheitsgründen sollte der Versuch unter dem Abzug durchgeführt werden.</w:t>
                  </w:r>
                </w:p>
              </w:txbxContent>
            </v:textbox>
            <w10:wrap type="none"/>
            <w10:anchorlock/>
          </v:shape>
        </w:pict>
      </w:r>
    </w:p>
    <w:p w:rsidR="00394119" w:rsidRPr="006E32AF" w:rsidRDefault="00394119" w:rsidP="00394119">
      <w:pPr>
        <w:tabs>
          <w:tab w:val="left" w:pos="1701"/>
          <w:tab w:val="left" w:pos="1985"/>
        </w:tabs>
        <w:ind w:left="1980" w:hanging="1980"/>
        <w:rPr>
          <w:rFonts w:eastAsiaTheme="minorEastAsia"/>
        </w:rPr>
      </w:pPr>
    </w:p>
    <w:p w:rsidR="004465A0" w:rsidRDefault="004465A0"/>
    <w:sectPr w:rsidR="004465A0" w:rsidSect="004465A0">
      <w:head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954" w:rsidRDefault="00527954" w:rsidP="00FB7B7D">
      <w:pPr>
        <w:spacing w:after="0" w:line="240" w:lineRule="auto"/>
      </w:pPr>
      <w:r>
        <w:separator/>
      </w:r>
    </w:p>
  </w:endnote>
  <w:endnote w:type="continuationSeparator" w:id="0">
    <w:p w:rsidR="00527954" w:rsidRDefault="00527954" w:rsidP="00FB7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954" w:rsidRDefault="00527954" w:rsidP="00FB7B7D">
      <w:pPr>
        <w:spacing w:after="0" w:line="240" w:lineRule="auto"/>
      </w:pPr>
      <w:r>
        <w:separator/>
      </w:r>
    </w:p>
  </w:footnote>
  <w:footnote w:type="continuationSeparator" w:id="0">
    <w:p w:rsidR="00527954" w:rsidRDefault="00527954" w:rsidP="00FB7B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FB7B7D" w:rsidRDefault="00FB7B7D" w:rsidP="00FB7B7D">
        <w:pPr>
          <w:pStyle w:val="Kopfzeile"/>
          <w:tabs>
            <w:tab w:val="left" w:pos="0"/>
            <w:tab w:val="left" w:pos="284"/>
          </w:tabs>
          <w:jc w:val="right"/>
          <w:rPr>
            <w:rFonts w:asciiTheme="majorHAnsi" w:hAnsiTheme="majorHAnsi"/>
            <w:sz w:val="20"/>
            <w:szCs w:val="20"/>
          </w:rPr>
        </w:pPr>
        <w:fldSimple w:instr=" STYLEREF  &quot;Überschrift 1&quot;  \* MERGEFORMAT ">
          <w:r w:rsidRPr="00FB7B7D">
            <w:rPr>
              <w:b/>
              <w:bCs/>
              <w:noProof/>
            </w:rPr>
            <w:t>V 3 – Zersetzung von Bronze</w:t>
          </w:r>
        </w:fldSimple>
        <w:r>
          <w:rPr>
            <w:rFonts w:asciiTheme="majorHAnsi" w:hAnsiTheme="majorHAnsi"/>
            <w:sz w:val="20"/>
            <w:szCs w:val="20"/>
          </w:rPr>
          <w:tab/>
        </w:r>
        <w:r>
          <w:rPr>
            <w:rFonts w:asciiTheme="majorHAnsi" w:hAnsiTheme="majorHAnsi"/>
            <w:sz w:val="20"/>
            <w:szCs w:val="20"/>
          </w:rPr>
          <w:tab/>
        </w:r>
        <w:r>
          <w:rPr>
            <w:rFonts w:asciiTheme="majorHAnsi" w:hAnsiTheme="majorHAnsi" w:cs="Arial"/>
            <w:sz w:val="20"/>
            <w:szCs w:val="20"/>
          </w:rPr>
          <w:t xml:space="preserve"> </w:t>
        </w:r>
        <w:r>
          <w:rPr>
            <w:rFonts w:asciiTheme="majorHAnsi" w:hAnsiTheme="majorHAnsi"/>
            <w:sz w:val="20"/>
            <w:szCs w:val="20"/>
          </w:rPr>
          <w:fldChar w:fldCharType="begin"/>
        </w:r>
        <w:r>
          <w:rPr>
            <w:rFonts w:asciiTheme="majorHAnsi" w:hAnsiTheme="majorHAnsi"/>
            <w:sz w:val="20"/>
            <w:szCs w:val="20"/>
          </w:rPr>
          <w:instrText xml:space="preserve"> PAGE   \* MERGEFORMAT </w:instrText>
        </w:r>
        <w:r>
          <w:rPr>
            <w:rFonts w:asciiTheme="majorHAnsi" w:hAnsiTheme="majorHAnsi"/>
            <w:sz w:val="20"/>
            <w:szCs w:val="20"/>
          </w:rPr>
          <w:fldChar w:fldCharType="separate"/>
        </w:r>
        <w:r>
          <w:rPr>
            <w:rFonts w:asciiTheme="majorHAnsi" w:hAnsiTheme="majorHAnsi"/>
            <w:noProof/>
            <w:sz w:val="20"/>
            <w:szCs w:val="20"/>
          </w:rPr>
          <w:t>1</w:t>
        </w:r>
        <w:r>
          <w:rPr>
            <w:rFonts w:asciiTheme="majorHAnsi" w:hAnsiTheme="majorHAnsi"/>
            <w:sz w:val="20"/>
            <w:szCs w:val="20"/>
          </w:rPr>
          <w:fldChar w:fldCharType="end"/>
        </w:r>
      </w:p>
    </w:sdtContent>
  </w:sdt>
  <w:p w:rsidR="00FB7B7D" w:rsidRDefault="00FB7B7D" w:rsidP="00FB7B7D">
    <w:pPr>
      <w:pStyle w:val="Kopfzeile"/>
      <w:rPr>
        <w:rFonts w:asciiTheme="majorHAnsi" w:hAnsiTheme="majorHAnsi"/>
        <w:sz w:val="20"/>
        <w:szCs w:val="20"/>
      </w:rPr>
    </w:pPr>
    <w:r>
      <w:pict>
        <v:shapetype id="_x0000_t32" coordsize="21600,21600" o:spt="32" o:oned="t" path="m,l21600,21600e" filled="f">
          <v:path arrowok="t" fillok="f" o:connecttype="none"/>
          <o:lock v:ext="edit" shapetype="t"/>
        </v:shapetype>
        <v:shape id="_x0000_s3073" type="#_x0000_t32" style="position:absolute;left:0;text-align:left;margin-left:-3.35pt;margin-top:3.05pt;width:462pt;height:.05pt;flip:x;z-index:251658240" o:connectortype="straight"/>
      </w:pict>
    </w:r>
  </w:p>
  <w:p w:rsidR="00FB7B7D" w:rsidRDefault="00FB7B7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3"/>
      <o:rules v:ext="edit">
        <o:r id="V:Rule1" type="connector" idref="#_x0000_s3073"/>
      </o:rules>
    </o:shapelayout>
  </w:hdrShapeDefaults>
  <w:footnotePr>
    <w:footnote w:id="-1"/>
    <w:footnote w:id="0"/>
  </w:footnotePr>
  <w:endnotePr>
    <w:endnote w:id="-1"/>
    <w:endnote w:id="0"/>
  </w:endnotePr>
  <w:compat/>
  <w:rsids>
    <w:rsidRoot w:val="00394119"/>
    <w:rsid w:val="00293ED5"/>
    <w:rsid w:val="00394119"/>
    <w:rsid w:val="003D1AB1"/>
    <w:rsid w:val="004465A0"/>
    <w:rsid w:val="00527954"/>
    <w:rsid w:val="0083717A"/>
    <w:rsid w:val="00F0626A"/>
    <w:rsid w:val="00FB7B7D"/>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411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9411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9411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9411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9411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9411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9411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9411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9411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9411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411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9411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9411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9411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9411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9411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9411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9411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9411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94119"/>
    <w:pPr>
      <w:spacing w:line="240" w:lineRule="auto"/>
    </w:pPr>
    <w:rPr>
      <w:bCs/>
      <w:color w:val="auto"/>
      <w:sz w:val="18"/>
      <w:szCs w:val="18"/>
    </w:rPr>
  </w:style>
  <w:style w:type="character" w:styleId="Hyperlink">
    <w:name w:val="Hyperlink"/>
    <w:basedOn w:val="Absatz-Standardschriftart"/>
    <w:uiPriority w:val="99"/>
    <w:unhideWhenUsed/>
    <w:rsid w:val="00394119"/>
    <w:rPr>
      <w:color w:val="0000FF" w:themeColor="hyperlink"/>
      <w:u w:val="single"/>
    </w:rPr>
  </w:style>
  <w:style w:type="paragraph" w:styleId="Sprechblasentext">
    <w:name w:val="Balloon Text"/>
    <w:basedOn w:val="Standard"/>
    <w:link w:val="SprechblasentextZchn"/>
    <w:uiPriority w:val="99"/>
    <w:semiHidden/>
    <w:unhideWhenUsed/>
    <w:rsid w:val="003941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119"/>
    <w:rPr>
      <w:rFonts w:ascii="Tahoma" w:hAnsi="Tahoma" w:cs="Tahoma"/>
      <w:color w:val="1D1B11" w:themeColor="background2" w:themeShade="1A"/>
      <w:sz w:val="16"/>
      <w:szCs w:val="16"/>
    </w:rPr>
  </w:style>
  <w:style w:type="paragraph" w:styleId="Kopfzeile">
    <w:name w:val="header"/>
    <w:basedOn w:val="Standard"/>
    <w:link w:val="KopfzeileZchn"/>
    <w:uiPriority w:val="99"/>
    <w:semiHidden/>
    <w:unhideWhenUsed/>
    <w:rsid w:val="00FB7B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B7B7D"/>
    <w:rPr>
      <w:rFonts w:ascii="Cambria" w:hAnsi="Cambria"/>
      <w:color w:val="1D1B11" w:themeColor="background2" w:themeShade="1A"/>
    </w:rPr>
  </w:style>
  <w:style w:type="paragraph" w:styleId="Fuzeile">
    <w:name w:val="footer"/>
    <w:basedOn w:val="Standard"/>
    <w:link w:val="FuzeileZchn"/>
    <w:uiPriority w:val="99"/>
    <w:semiHidden/>
    <w:unhideWhenUsed/>
    <w:rsid w:val="00FB7B7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B7B7D"/>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divs>
    <w:div w:id="16352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AE274-87F8-4CFE-A5F0-B49640FE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1273</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2</cp:revision>
  <dcterms:created xsi:type="dcterms:W3CDTF">2013-08-13T17:58:00Z</dcterms:created>
  <dcterms:modified xsi:type="dcterms:W3CDTF">2013-08-14T18:16:00Z</dcterms:modified>
</cp:coreProperties>
</file>