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C4" w:rsidRPr="00DB13C4" w:rsidRDefault="0051795A" w:rsidP="00224BBE">
      <w:pPr>
        <w:pStyle w:val="berschrift1"/>
        <w:numPr>
          <w:ilvl w:val="0"/>
          <w:numId w:val="0"/>
        </w:numPr>
        <w:ind w:left="432" w:hanging="432"/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72.6pt;width:462.45pt;height:60.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DB13C4" w:rsidRPr="002F2D3C" w:rsidRDefault="00DB13C4" w:rsidP="00DB13C4">
                  <w:pPr>
                    <w:rPr>
                      <w:color w:val="auto"/>
                    </w:rPr>
                  </w:pPr>
                  <w:r w:rsidRPr="002F2D3C">
                    <w:rPr>
                      <w:color w:val="auto"/>
                    </w:rPr>
                    <w:t>In diesem Versuch soll es um die Volumenverringerung einer Ethanol-Wasser-Lösung gehen. Dabei zielt der Versuch vor allem darauf ab, sich die</w:t>
                  </w:r>
                  <w:r>
                    <w:rPr>
                      <w:color w:val="auto"/>
                    </w:rPr>
                    <w:t>sen Vorgang</w:t>
                  </w:r>
                  <w:r w:rsidRPr="002F2D3C">
                    <w:rPr>
                      <w:color w:val="auto"/>
                    </w:rPr>
                    <w:t xml:space="preserve"> auf Teilchenebene zu</w:t>
                  </w:r>
                  <w:r>
                    <w:rPr>
                      <w:color w:val="auto"/>
                    </w:rPr>
                    <w:t xml:space="preserve"> verdeutli</w:t>
                  </w:r>
                  <w:r w:rsidRPr="002F2D3C">
                    <w:rPr>
                      <w:color w:val="auto"/>
                    </w:rPr>
                    <w:t xml:space="preserve">chen. Der nächste Versuch dient dazu als Modellversuch. </w:t>
                  </w:r>
                </w:p>
              </w:txbxContent>
            </v:textbox>
            <w10:wrap type="square"/>
          </v:shape>
        </w:pict>
      </w:r>
      <w:bookmarkStart w:id="0" w:name="_Toc363110461"/>
      <w:r w:rsidR="00DB13C4" w:rsidRPr="00DB13C4">
        <w:rPr>
          <w:sz w:val="40"/>
          <w:szCs w:val="40"/>
          <w:u w:val="single"/>
        </w:rPr>
        <w:t>V5 – Ethanol und Wasser: 1+1=2?</w:t>
      </w:r>
      <w:bookmarkEnd w:id="0"/>
    </w:p>
    <w:p w:rsidR="00DB13C4" w:rsidRDefault="00DB13C4" w:rsidP="00DB13C4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B13C4" w:rsidRPr="009C5E28" w:rsidTr="00E958AB">
        <w:tc>
          <w:tcPr>
            <w:tcW w:w="9322" w:type="dxa"/>
            <w:gridSpan w:val="9"/>
            <w:shd w:val="clear" w:color="auto" w:fill="4F81BD"/>
            <w:vAlign w:val="center"/>
          </w:tcPr>
          <w:p w:rsidR="00DB13C4" w:rsidRPr="009C5E28" w:rsidRDefault="00DB13C4" w:rsidP="00E958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B13C4" w:rsidRPr="009C5E28" w:rsidTr="00E958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sz w:val="20"/>
              </w:rPr>
              <w:t>H: 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sz w:val="20"/>
              </w:rPr>
              <w:t>P: 210</w:t>
            </w:r>
          </w:p>
        </w:tc>
      </w:tr>
      <w:tr w:rsidR="00DB13C4" w:rsidRPr="009C5E28" w:rsidTr="00E958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6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8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1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63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B13C4" w:rsidRPr="009C5E28" w:rsidRDefault="00DB13C4" w:rsidP="00E958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3C4" w:rsidRDefault="00DB13C4" w:rsidP="00DB13C4">
      <w:pPr>
        <w:tabs>
          <w:tab w:val="left" w:pos="1701"/>
          <w:tab w:val="left" w:pos="1985"/>
        </w:tabs>
        <w:ind w:left="1980" w:hanging="1980"/>
      </w:pPr>
    </w:p>
    <w:p w:rsidR="00DB13C4" w:rsidRDefault="00DB13C4" w:rsidP="00DB13C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zwei Messzylinder (50 mL), Messzylinder (100 mL)</w:t>
      </w:r>
    </w:p>
    <w:p w:rsidR="00DB13C4" w:rsidRPr="00ED07C2" w:rsidRDefault="00DB13C4" w:rsidP="00DB13C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Ethanol, Wasser</w:t>
      </w:r>
    </w:p>
    <w:p w:rsidR="00DB13C4" w:rsidRDefault="00DB13C4" w:rsidP="00DB13C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einem Messzylinder werden 50 mL Ethanol, in dem anderen 50 mL Wasser abgemessen. Diese werden anschließend zusammengegeben.</w:t>
      </w:r>
    </w:p>
    <w:p w:rsidR="00DB13C4" w:rsidRDefault="00DB13C4" w:rsidP="00DB13C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Es bildet sich ein homogenes Gemisch. Statt des erwarteten Volumens von 100 mL hat die Lösung ein Volumen von 96 mL</w:t>
      </w:r>
    </w:p>
    <w:p w:rsidR="00DB13C4" w:rsidRDefault="00DB13C4" w:rsidP="00DB13C4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631057" cy="2242029"/>
            <wp:effectExtent l="19050" t="0" r="0" b="0"/>
            <wp:docPr id="6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57" cy="224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>
            <wp:extent cx="2902788" cy="2177091"/>
            <wp:effectExtent l="0" t="361950" r="0" b="337509"/>
            <wp:docPr id="76" name="Grafik 75" descr="DSC0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4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05860" cy="21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3C4" w:rsidRDefault="00DB13C4" w:rsidP="00DB13C4">
      <w:pPr>
        <w:pStyle w:val="Beschriftung"/>
        <w:jc w:val="left"/>
      </w:pPr>
      <w:r>
        <w:t xml:space="preserve">Abb. 7 - </w:t>
      </w:r>
      <w:r>
        <w:rPr>
          <w:noProof/>
        </w:rPr>
        <w:t xml:space="preserve"> Die Lösungen vor dem zusammengeben.</w:t>
      </w:r>
      <w:r>
        <w:rPr>
          <w:noProof/>
        </w:rPr>
        <w:tab/>
      </w:r>
      <w:r>
        <w:rPr>
          <w:noProof/>
        </w:rPr>
        <w:tab/>
      </w:r>
      <w:r>
        <w:t xml:space="preserve">Abb. 8 - </w:t>
      </w:r>
      <w:r>
        <w:rPr>
          <w:noProof/>
        </w:rPr>
        <w:t xml:space="preserve"> Die Lösungen nach dem zusammengeben.</w:t>
      </w:r>
    </w:p>
    <w:p w:rsidR="00DB13C4" w:rsidRDefault="00DB13C4" w:rsidP="00DB13C4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Deutung: </w:t>
      </w:r>
      <w:r>
        <w:tab/>
      </w:r>
      <w:r>
        <w:tab/>
      </w:r>
      <w:r>
        <w:tab/>
        <w:t>s. nächster Versuch</w:t>
      </w:r>
    </w:p>
    <w:p w:rsidR="00DB13C4" w:rsidRDefault="00DB13C4" w:rsidP="00DB13C4">
      <w:pPr>
        <w:tabs>
          <w:tab w:val="left" w:pos="1701"/>
          <w:tab w:val="left" w:pos="1985"/>
        </w:tabs>
        <w:ind w:left="1980" w:hanging="1980"/>
      </w:pPr>
      <w:r>
        <w:t xml:space="preserve">Literatur: </w:t>
      </w:r>
      <w:r>
        <w:tab/>
      </w:r>
      <w:r>
        <w:tab/>
        <w:t xml:space="preserve">H. Schmidt-Kuntz, W. </w:t>
      </w:r>
      <w:proofErr w:type="spellStart"/>
      <w:r>
        <w:t>Rentzsch</w:t>
      </w:r>
      <w:proofErr w:type="spellEnd"/>
      <w:r>
        <w:t>,</w:t>
      </w:r>
      <w:r w:rsidRPr="002D0D3F">
        <w:t xml:space="preserve"> Chemische Freihandversuche Bd.</w:t>
      </w:r>
      <w:r>
        <w:t>1</w:t>
      </w:r>
      <w:r w:rsidRPr="002D0D3F">
        <w:t xml:space="preserve">, </w:t>
      </w:r>
      <w:proofErr w:type="spellStart"/>
      <w:r w:rsidRPr="002D0D3F">
        <w:t>Aulis</w:t>
      </w:r>
      <w:proofErr w:type="spellEnd"/>
      <w:r w:rsidRPr="002D0D3F">
        <w:t>-Verlag, 2011, S.2</w:t>
      </w:r>
      <w:r>
        <w:t>0.</w:t>
      </w:r>
    </w:p>
    <w:p w:rsidR="00DB13C4" w:rsidRPr="006E32AF" w:rsidRDefault="0051795A" w:rsidP="00DB13C4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51795A">
        <w:pict>
          <v:shape id="_x0000_s1028" type="#_x0000_t202" style="width:462.45pt;height:47.6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8">
              <w:txbxContent>
                <w:p w:rsidR="00DB13C4" w:rsidRPr="00F73877" w:rsidRDefault="00DB13C4" w:rsidP="00DB13C4">
                  <w:pPr>
                    <w:rPr>
                      <w:color w:val="auto"/>
                    </w:rPr>
                  </w:pPr>
                  <w:r w:rsidRPr="00F73877">
                    <w:rPr>
                      <w:color w:val="auto"/>
                    </w:rPr>
                    <w:t>Es können auch kleinere Volumen an Wass</w:t>
                  </w:r>
                  <w:r>
                    <w:rPr>
                      <w:color w:val="auto"/>
                    </w:rPr>
                    <w:t>er und Ethanol verwendet werden;</w:t>
                  </w:r>
                  <w:r w:rsidRPr="00F73877">
                    <w:rPr>
                      <w:color w:val="auto"/>
                    </w:rPr>
                    <w:t xml:space="preserve"> der Effekt bleibt derselbe.</w:t>
                  </w:r>
                </w:p>
              </w:txbxContent>
            </v:textbox>
            <w10:wrap type="none"/>
            <w10:anchorlock/>
          </v:shape>
        </w:pict>
      </w:r>
    </w:p>
    <w:p w:rsidR="004465A0" w:rsidRDefault="004465A0"/>
    <w:sectPr w:rsidR="004465A0" w:rsidSect="004465A0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7F" w:rsidRDefault="009D277F" w:rsidP="00224BBE">
      <w:pPr>
        <w:spacing w:after="0" w:line="240" w:lineRule="auto"/>
      </w:pPr>
      <w:r>
        <w:separator/>
      </w:r>
    </w:p>
  </w:endnote>
  <w:endnote w:type="continuationSeparator" w:id="0">
    <w:p w:rsidR="009D277F" w:rsidRDefault="009D277F" w:rsidP="0022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7F" w:rsidRDefault="009D277F" w:rsidP="00224BBE">
      <w:pPr>
        <w:spacing w:after="0" w:line="240" w:lineRule="auto"/>
      </w:pPr>
      <w:r>
        <w:separator/>
      </w:r>
    </w:p>
  </w:footnote>
  <w:footnote w:type="continuationSeparator" w:id="0">
    <w:p w:rsidR="009D277F" w:rsidRDefault="009D277F" w:rsidP="0022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224BBE" w:rsidRDefault="00224BBE" w:rsidP="00224BBE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Pr="00224BBE">
            <w:rPr>
              <w:b/>
              <w:bCs/>
              <w:noProof/>
            </w:rPr>
            <w:t>V5 – Ethanol und Wasser: 1+1=2?</w:t>
          </w:r>
        </w:fldSimple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 w:cs="Arial"/>
            <w:sz w:val="20"/>
            <w:szCs w:val="20"/>
          </w:rPr>
          <w:t xml:space="preserve"> </w:t>
        </w:r>
        <w:r>
          <w:rPr>
            <w:rFonts w:asciiTheme="majorHAnsi" w:hAnsiTheme="majorHAnsi"/>
            <w:sz w:val="20"/>
            <w:szCs w:val="20"/>
          </w:rPr>
          <w:fldChar w:fldCharType="begin"/>
        </w:r>
        <w:r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1</w:t>
        </w:r>
        <w:r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224BBE" w:rsidRDefault="00224BBE" w:rsidP="00224BBE">
    <w:pPr>
      <w:pStyle w:val="Kopfzeile"/>
      <w:rPr>
        <w:rFonts w:asciiTheme="majorHAnsi" w:hAnsiTheme="majorHAnsi"/>
        <w:sz w:val="20"/>
        <w:szCs w:val="20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3.35pt;margin-top:3.05pt;width:462pt;height:.05pt;flip:x;z-index:251658240" o:connectortype="straight"/>
      </w:pict>
    </w:r>
  </w:p>
  <w:p w:rsidR="00224BBE" w:rsidRDefault="00224BB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3C4"/>
    <w:rsid w:val="00224BBE"/>
    <w:rsid w:val="00293ED5"/>
    <w:rsid w:val="003D1AB1"/>
    <w:rsid w:val="004465A0"/>
    <w:rsid w:val="0051795A"/>
    <w:rsid w:val="009D277F"/>
    <w:rsid w:val="00AD6323"/>
    <w:rsid w:val="00DB13C4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13C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13C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13C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13C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13C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13C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13C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13C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13C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13C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13C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13C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13C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13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13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13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13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13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13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B13C4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3C4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2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24BBE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22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24BBE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51D98-DB78-4EB4-8C82-0EAA0147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626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2</cp:revision>
  <dcterms:created xsi:type="dcterms:W3CDTF">2013-08-13T18:00:00Z</dcterms:created>
  <dcterms:modified xsi:type="dcterms:W3CDTF">2013-08-14T18:21:00Z</dcterms:modified>
</cp:coreProperties>
</file>