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2" w:rsidRDefault="00501672" w:rsidP="00501672"/>
    <w:p w:rsidR="00501672" w:rsidRDefault="00501672" w:rsidP="00501672">
      <w:pPr>
        <w:pStyle w:val="berschrift2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2.2pt;width:462.45pt;height:117.9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501672" w:rsidRPr="009C0A3A" w:rsidRDefault="00501672" w:rsidP="00501672">
                  <w:pPr>
                    <w:rPr>
                      <w:color w:val="auto"/>
                    </w:rPr>
                  </w:pPr>
                  <w:r w:rsidRPr="009C0A3A">
                    <w:rPr>
                      <w:color w:val="auto"/>
                    </w:rPr>
                    <w:t>Dieser Versuch untersucht zum Einen die Eigenschaft der Brennbarkeit des Stickstoffs, liefert dadurch aber auch gleichzeitig einen Stickstoffnachweis, welcher vom Kerncurriculum gefo</w:t>
                  </w:r>
                  <w:r w:rsidRPr="009C0A3A">
                    <w:rPr>
                      <w:color w:val="auto"/>
                    </w:rPr>
                    <w:t>r</w:t>
                  </w:r>
                  <w:r w:rsidRPr="009C0A3A">
                    <w:rPr>
                      <w:color w:val="auto"/>
                    </w:rPr>
                    <w:t>dert wird. Um dies aber einordnen zu können, ist es notwendig, dass die Schüler und Schül</w:t>
                  </w:r>
                  <w:r w:rsidRPr="009C0A3A">
                    <w:rPr>
                      <w:color w:val="auto"/>
                    </w:rPr>
                    <w:t>e</w:t>
                  </w:r>
                  <w:r w:rsidRPr="009C0A3A">
                    <w:rPr>
                      <w:color w:val="auto"/>
                    </w:rPr>
                    <w:t>rinnen vorab wissen, dass Stoffe bestimmte Eigenschaften besitzen, die sich nachweisen lassen und sich somit die Stoffe selbst über ihre Eigenschaften nachweisen kann.</w:t>
                  </w:r>
                  <w:r>
                    <w:rPr>
                      <w:color w:val="auto"/>
                    </w:rPr>
                    <w:t xml:space="preserve"> Außerdem muss die Handhabung von Gasflaschen bekannt sein.</w:t>
                  </w:r>
                </w:p>
                <w:p w:rsidR="00501672" w:rsidRPr="000D10FB" w:rsidRDefault="00501672" w:rsidP="00501672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bookmarkStart w:id="0" w:name="_Toc395738153"/>
      <w:r>
        <w:t>V 5 – Prüfen des Stickstoffs auf Brennbarkeit (Nachweis)</w:t>
      </w:r>
      <w:bookmarkEnd w:id="0"/>
    </w:p>
    <w:p w:rsidR="00501672" w:rsidRDefault="00501672" w:rsidP="0050167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01672" w:rsidRPr="009C5E28" w:rsidTr="00172172">
        <w:tc>
          <w:tcPr>
            <w:tcW w:w="9322" w:type="dxa"/>
            <w:gridSpan w:val="9"/>
            <w:shd w:val="clear" w:color="auto" w:fill="4F81BD"/>
            <w:vAlign w:val="center"/>
          </w:tcPr>
          <w:p w:rsidR="00501672" w:rsidRPr="009C5E28" w:rsidRDefault="00501672" w:rsidP="00172172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501672" w:rsidRPr="009C5E28" w:rsidTr="0017217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Stickstoff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403</w:t>
            </w:r>
          </w:p>
        </w:tc>
      </w:tr>
      <w:tr w:rsidR="00501672" w:rsidRPr="009C5E28" w:rsidTr="00172172">
        <w:trPr>
          <w:trHeight w:val="1123"/>
        </w:trPr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60717" cy="560717"/>
                  <wp:effectExtent l="19050" t="0" r="0" b="0"/>
                  <wp:docPr id="76" name="Grafik 75" descr="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73" cy="56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1672" w:rsidRPr="009C5E28" w:rsidRDefault="00501672" w:rsidP="0017217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Standzylinder mit Deckplatte, Verbrennungslöffel</w:t>
      </w:r>
    </w:p>
    <w:p w:rsidR="00501672" w:rsidRPr="00ED07C2" w:rsidRDefault="00501672" w:rsidP="0050167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Stickstoff, Kerze</w:t>
      </w: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In den Standzylinder wird etwa eine Minute lang Stickstoff aus der Gasfl</w:t>
      </w:r>
      <w:r>
        <w:t>a</w:t>
      </w:r>
      <w:r>
        <w:t>sche eingefüllt. Anschließend wird er mit der Deckplatte abgedeckt. Die Kerze wird angezündet und mit Hilfe des Verbrennungslöffels in den gefül</w:t>
      </w:r>
      <w:r>
        <w:t>l</w:t>
      </w:r>
      <w:r>
        <w:t>ten Standzylinder eingebracht.</w:t>
      </w: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Kerze erlischt.</w:t>
      </w:r>
    </w:p>
    <w:p w:rsidR="00501672" w:rsidRDefault="00501672" w:rsidP="0050167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552883" cy="2396168"/>
            <wp:effectExtent l="19050" t="0" r="9217" b="0"/>
            <wp:docPr id="113" name="Grafik 112" descr="DSCF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741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884" cy="240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72" w:rsidRDefault="00501672" w:rsidP="00501672">
      <w:pPr>
        <w:pStyle w:val="Beschriftung"/>
        <w:jc w:val="center"/>
        <w:rPr>
          <w:noProof/>
        </w:rPr>
      </w:pPr>
      <w:r>
        <w:t xml:space="preserve">Abb. 10 - </w:t>
      </w:r>
      <w:r>
        <w:rPr>
          <w:noProof/>
        </w:rPr>
        <w:t xml:space="preserve"> Erloschene Kerze im Standzylinder</w:t>
      </w:r>
    </w:p>
    <w:p w:rsidR="00501672" w:rsidRPr="00027E13" w:rsidRDefault="00501672" w:rsidP="00501672">
      <w:pPr>
        <w:spacing w:after="0"/>
      </w:pP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Stickstoff unterhält die Verbrennung nicht. Das Erlischen einer Ke</w:t>
      </w:r>
      <w:r>
        <w:t>r</w:t>
      </w:r>
      <w:r>
        <w:t>ze/Glimmspan kann als Stickstoffnachweis gesehen werden.</w:t>
      </w: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 xml:space="preserve">Entsorgung: </w:t>
      </w:r>
      <w:r>
        <w:tab/>
      </w:r>
      <w:r>
        <w:tab/>
        <w:t>---</w:t>
      </w:r>
    </w:p>
    <w:p w:rsidR="00501672" w:rsidRDefault="00501672" w:rsidP="00501672">
      <w:pPr>
        <w:spacing w:line="276" w:lineRule="auto"/>
        <w:ind w:left="1980" w:hanging="1980"/>
        <w:jc w:val="left"/>
        <w:rPr>
          <w:color w:val="auto"/>
        </w:rPr>
      </w:pPr>
      <w:r>
        <w:t>Literatur:</w:t>
      </w:r>
      <w:r>
        <w:tab/>
      </w:r>
      <w:r w:rsidRPr="00EC312D">
        <w:rPr>
          <w:color w:val="auto"/>
        </w:rPr>
        <w:t xml:space="preserve">H. Boeck, H. </w:t>
      </w:r>
      <w:proofErr w:type="spellStart"/>
      <w:r w:rsidRPr="00EC312D">
        <w:rPr>
          <w:color w:val="auto"/>
        </w:rPr>
        <w:t>Keune</w:t>
      </w:r>
      <w:proofErr w:type="spellEnd"/>
      <w:r w:rsidRPr="00EC312D">
        <w:rPr>
          <w:color w:val="auto"/>
        </w:rPr>
        <w:t xml:space="preserve">, </w:t>
      </w:r>
      <w:r w:rsidRPr="00EC312D">
        <w:rPr>
          <w:i/>
          <w:color w:val="auto"/>
        </w:rPr>
        <w:t xml:space="preserve">Chemische Schulexperimente Band 1: Anorganische </w:t>
      </w:r>
      <w:r>
        <w:rPr>
          <w:i/>
          <w:color w:val="auto"/>
        </w:rPr>
        <w:t xml:space="preserve">  </w:t>
      </w:r>
      <w:r w:rsidRPr="00EC312D">
        <w:rPr>
          <w:i/>
          <w:color w:val="auto"/>
        </w:rPr>
        <w:t>Chemie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Cornelsen</w:t>
      </w:r>
      <w:proofErr w:type="spellEnd"/>
      <w:r>
        <w:rPr>
          <w:color w:val="auto"/>
        </w:rPr>
        <w:t>, 1. Auflage, 2. Druck, 2009</w:t>
      </w:r>
      <w:r w:rsidRPr="00EC312D">
        <w:rPr>
          <w:color w:val="auto"/>
        </w:rPr>
        <w:t>, S. 12</w:t>
      </w:r>
      <w:r>
        <w:rPr>
          <w:color w:val="auto"/>
        </w:rPr>
        <w:t>5.</w:t>
      </w:r>
    </w:p>
    <w:p w:rsidR="00501672" w:rsidRPr="005B60E3" w:rsidRDefault="00501672" w:rsidP="00501672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01672" w:rsidRDefault="00501672" w:rsidP="00501672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98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501672" w:rsidRPr="001B59D3" w:rsidRDefault="00501672" w:rsidP="00501672">
                  <w:pPr>
                    <w:rPr>
                      <w:color w:val="auto"/>
                    </w:rPr>
                  </w:pPr>
                  <w:r w:rsidRPr="001B59D3">
                    <w:rPr>
                      <w:color w:val="auto"/>
                    </w:rPr>
                    <w:t>Dieser Versuch kann im Zuge der Untersuchung von den Bestandteilen der Luft sowie im B</w:t>
                  </w:r>
                  <w:r w:rsidRPr="001B59D3">
                    <w:rPr>
                      <w:color w:val="auto"/>
                    </w:rPr>
                    <w:t>e</w:t>
                  </w:r>
                  <w:r w:rsidRPr="001B59D3">
                    <w:rPr>
                      <w:color w:val="auto"/>
                    </w:rPr>
                    <w:t>reich der Unterscheidung von Stoffen anhand von Eigenschaften durch Nachweisreaktionen in den Unterricht eingebracht werden. Er ist schnell und einfach durchzuführen und festigt n</w:t>
                  </w:r>
                  <w:r w:rsidRPr="001B59D3">
                    <w:rPr>
                      <w:color w:val="auto"/>
                    </w:rPr>
                    <w:t>e</w:t>
                  </w:r>
                  <w:r w:rsidRPr="001B59D3">
                    <w:rPr>
                      <w:color w:val="auto"/>
                    </w:rPr>
                    <w:t>benbei die Handhabung von Gasflaschen. Desweiteren ist der Versuch kostengünstig und eine Entsorgung ist nicht nötig.</w:t>
                  </w:r>
                </w:p>
              </w:txbxContent>
            </v:textbox>
            <w10:wrap type="none"/>
            <w10:anchorlock/>
          </v:shape>
        </w:pict>
      </w:r>
    </w:p>
    <w:p w:rsidR="00501672" w:rsidRPr="006E32AF" w:rsidRDefault="00501672" w:rsidP="0050167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F069C6" w:rsidRDefault="00F069C6"/>
    <w:sectPr w:rsidR="00F069C6" w:rsidSect="00F06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672"/>
    <w:rsid w:val="0021066D"/>
    <w:rsid w:val="00501672"/>
    <w:rsid w:val="007149D2"/>
    <w:rsid w:val="00F0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167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167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167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167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167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16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16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16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16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16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167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167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167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16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16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16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1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16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0167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67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765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</cp:revision>
  <dcterms:created xsi:type="dcterms:W3CDTF">2014-08-26T14:43:00Z</dcterms:created>
  <dcterms:modified xsi:type="dcterms:W3CDTF">2014-08-26T14:43:00Z</dcterms:modified>
</cp:coreProperties>
</file>