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93" w:rsidRDefault="00224C93" w:rsidP="00224C93">
      <w:pPr>
        <w:pStyle w:val="berschrift2"/>
      </w:pPr>
      <w:bookmarkStart w:id="0" w:name="_Toc395714718"/>
      <w:r>
        <w:t>V 1 – Alufolie im Bromfeuer</w:t>
      </w:r>
      <w:bookmarkEnd w:id="0"/>
    </w:p>
    <w:p w:rsidR="00224C93" w:rsidRDefault="00224C93" w:rsidP="00224C93">
      <w:bookmarkStart w:id="1" w:name="OLE_LINK1"/>
      <w:bookmarkStart w:id="2" w:name="OLE_LINK2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8pt;width:462.45pt;height:124.5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224C93" w:rsidRPr="00A64A69" w:rsidRDefault="00224C93" w:rsidP="00224C9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den Begriff der Redoxreaktion als Sauerstoffaufnahme bzw. –</w:t>
                  </w:r>
                  <w:proofErr w:type="spellStart"/>
                  <w:r>
                    <w:rPr>
                      <w:color w:val="auto"/>
                    </w:rPr>
                    <w:t>abgabe</w:t>
                  </w:r>
                  <w:proofErr w:type="spellEnd"/>
                  <w:r>
                    <w:rPr>
                      <w:color w:val="auto"/>
                    </w:rPr>
                    <w:t xml:space="preserve"> bereits kennen um auf dieses Wissen aufbauen zu können. Dieses Vorgehen hat den Vorteil, dass im Unterricht zuerst Reaktionen behandelt werden wie Korrosion, die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bereits aus ihrem Alltag kennen. Alternativ kann der erweiterte </w:t>
                  </w:r>
                  <w:proofErr w:type="spellStart"/>
                  <w:r>
                    <w:rPr>
                      <w:color w:val="auto"/>
                    </w:rPr>
                    <w:t>Redoxbegriff</w:t>
                  </w:r>
                  <w:proofErr w:type="spellEnd"/>
                  <w:r>
                    <w:rPr>
                      <w:color w:val="auto"/>
                    </w:rPr>
                    <w:t xml:space="preserve"> auch eingeführt werden ohne vo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her einen anderen </w:t>
                  </w:r>
                  <w:proofErr w:type="spellStart"/>
                  <w:r>
                    <w:rPr>
                      <w:color w:val="auto"/>
                    </w:rPr>
                    <w:t>Redoxbegriff</w:t>
                  </w:r>
                  <w:proofErr w:type="spellEnd"/>
                  <w:r>
                    <w:rPr>
                      <w:color w:val="auto"/>
                    </w:rPr>
                    <w:t xml:space="preserve"> behandelt zu haben. Hierbei wird die historische Entwicklung aber nicht berücksichtigt, was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das Nachvollziehen von Entwicklungen vorenthält.</w:t>
                  </w:r>
                </w:p>
                <w:p w:rsidR="00224C93" w:rsidRPr="00761607" w:rsidRDefault="00224C93" w:rsidP="00224C93"/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24C93" w:rsidRPr="009C5E28" w:rsidTr="008514F8">
        <w:tc>
          <w:tcPr>
            <w:tcW w:w="9322" w:type="dxa"/>
            <w:gridSpan w:val="9"/>
            <w:shd w:val="clear" w:color="auto" w:fill="4F81BD"/>
            <w:vAlign w:val="center"/>
          </w:tcPr>
          <w:p w:rsidR="00224C93" w:rsidRPr="009C5E28" w:rsidRDefault="00224C93" w:rsidP="008514F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24C93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FD39F2" w:rsidRDefault="00224C93" w:rsidP="008514F8">
            <w:pPr>
              <w:spacing w:after="0" w:line="276" w:lineRule="auto"/>
              <w:jc w:val="center"/>
              <w:rPr>
                <w:bCs/>
              </w:rPr>
            </w:pPr>
            <w:r w:rsidRPr="00FD39F2">
              <w:rPr>
                <w:bCs/>
              </w:rPr>
              <w:t>Brom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330-314-400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</w:t>
            </w:r>
            <w:r w:rsidRPr="009C5E28">
              <w:rPr>
                <w:sz w:val="20"/>
              </w:rPr>
              <w:t>-</w:t>
            </w:r>
            <w:r>
              <w:rPr>
                <w:rFonts w:ascii="Cambria Math" w:hAnsi="Cambria Math" w:cs="Cambria Math"/>
                <w:sz w:val="20"/>
              </w:rPr>
              <w:t>273-304+340-305+351+338-403+233</w:t>
            </w:r>
          </w:p>
        </w:tc>
      </w:tr>
      <w:tr w:rsidR="00224C93" w:rsidRPr="009C5E28" w:rsidTr="008514F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2" name="Grafik 2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3" name="Grafik 22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24C93" w:rsidRPr="009C5E28" w:rsidRDefault="00224C93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24" name="Grafik 2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</w:p>
    <w:bookmarkEnd w:id="1"/>
    <w:bookmarkEnd w:id="2"/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Stativmaterial</w:t>
      </w:r>
    </w:p>
    <w:p w:rsidR="00224C93" w:rsidRPr="00ED07C2" w:rsidRDefault="00224C93" w:rsidP="00224C9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Brom, Alufolie</w:t>
      </w:r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Einige wenige Tropfen Brom werden in das am Stativ befestigte Reagen</w:t>
      </w:r>
      <w:r>
        <w:t>z</w:t>
      </w:r>
      <w:r>
        <w:t>glas gegeben. Dann wird eine kleine Kugel Alufolie mit einem ungefähren Durchmesser von 4-5 mm in das Reagenzglas gegeben. Es kann solange Alufolie dazugegeben werden, bis keine Reaktion mehr stattfindet. Die Reaktion muss im Abzug durchgeführt werden!</w:t>
      </w:r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Aluminium „tanzt“ im Reagenzglas und verbrennt.</w:t>
      </w:r>
    </w:p>
    <w:p w:rsidR="00224C93" w:rsidRDefault="00224C93" w:rsidP="00224C93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542331" cy="2604533"/>
            <wp:effectExtent l="19050" t="0" r="719" b="0"/>
            <wp:docPr id="55" name="Bild 3" descr="C:\Dokumente und Einstellungen\Praxis Dr.Kellner\Eigene Dateien\SVP\BilderSVP\DSCF7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Praxis Dr.Kellner\Eigene Dateien\SVP\BilderSVP\DSCF76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61" cy="26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93" w:rsidRDefault="00224C93" w:rsidP="00224C93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– </w:t>
      </w:r>
      <w:r>
        <w:rPr>
          <w:noProof/>
        </w:rPr>
        <w:t>Alufolie in flüssigem Brom</w:t>
      </w:r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In einer heftigen Reaktion entsteht Aluminiumbromid.</w:t>
      </w:r>
    </w:p>
    <w:p w:rsidR="00224C93" w:rsidRPr="00B04415" w:rsidRDefault="00224C93" w:rsidP="00224C93">
      <w:pPr>
        <w:tabs>
          <w:tab w:val="left" w:pos="1985"/>
        </w:tabs>
        <w:ind w:left="1980" w:hanging="1980"/>
        <w:rPr>
          <w:i/>
          <w:color w:val="auto"/>
          <w:lang w:val="en-US"/>
        </w:rPr>
      </w:pPr>
      <w:r>
        <w:tab/>
      </w:r>
      <w:r w:rsidRPr="00B04415">
        <w:rPr>
          <w:i/>
          <w:lang w:val="en-US"/>
        </w:rPr>
        <w:t>Oxidation</w:t>
      </w:r>
      <w:r w:rsidRPr="00B04415">
        <w:rPr>
          <w:lang w:val="en-US"/>
        </w:rPr>
        <w:t xml:space="preserve">: 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Al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+ 3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lang w:val="en-US"/>
          </w:rPr>
          <m:t>‌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⋮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2</m:t>
        </m:r>
      </m:oMath>
    </w:p>
    <w:p w:rsidR="00224C93" w:rsidRPr="00780C10" w:rsidRDefault="00224C93" w:rsidP="00224C93">
      <w:pPr>
        <w:tabs>
          <w:tab w:val="left" w:pos="1985"/>
        </w:tabs>
        <w:ind w:left="1980" w:hanging="1980"/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8pt;margin-top:23.1pt;width:385.8pt;height:0;z-index:251661312" o:connectortype="straight"/>
        </w:pict>
      </w:r>
      <w:r w:rsidRPr="00224C93">
        <w:rPr>
          <w:i/>
          <w:color w:val="auto"/>
        </w:rPr>
        <w:t xml:space="preserve">                                        </w:t>
      </w:r>
      <w:r w:rsidRPr="00780C10">
        <w:rPr>
          <w:i/>
          <w:color w:val="auto"/>
        </w:rPr>
        <w:t xml:space="preserve">Reduktion: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→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⋮ ∙3</m:t>
        </m:r>
      </m:oMath>
    </w:p>
    <w:p w:rsidR="00224C93" w:rsidRPr="00780C10" w:rsidRDefault="00224C93" w:rsidP="00224C93">
      <w:pPr>
        <w:tabs>
          <w:tab w:val="left" w:pos="1985"/>
        </w:tabs>
        <w:ind w:left="1980" w:hanging="1980"/>
      </w:pPr>
      <w:r w:rsidRPr="00780C10">
        <w:rPr>
          <w:i/>
          <w:color w:val="auto"/>
        </w:rPr>
        <w:t xml:space="preserve">                                       </w:t>
      </w:r>
      <w:proofErr w:type="spellStart"/>
      <w:r w:rsidRPr="008C6EEE">
        <w:rPr>
          <w:i/>
          <w:color w:val="auto"/>
        </w:rPr>
        <w:t>Redox</w:t>
      </w:r>
      <w:proofErr w:type="spellEnd"/>
      <w:r w:rsidRPr="008C6EEE">
        <w:rPr>
          <w:i/>
          <w:color w:val="auto"/>
        </w:rPr>
        <w:t xml:space="preserve">:         </w:t>
      </w:r>
      <m:oMath>
        <m:r>
          <m:rPr>
            <m:sty m:val="p"/>
          </m:rPr>
          <w:rPr>
            <w:rFonts w:ascii="Cambria Math" w:hAnsi="Cambria Math"/>
            <w:color w:val="auto"/>
          </w:rPr>
          <m:t>2Al +3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→2Al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 xml:space="preserve"> </m:t>
        </m:r>
      </m:oMath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 xml:space="preserve">Bromreste werden mit </w:t>
      </w:r>
      <w:proofErr w:type="spellStart"/>
      <w:r>
        <w:t>Thiosulfat</w:t>
      </w:r>
      <w:proofErr w:type="spellEnd"/>
      <w:r>
        <w:t>-Lösung neutralisiert und ins Abwasser gegeben. Feststoffreste werden im dafür vorgesehenen Behälter gesa</w:t>
      </w:r>
      <w:r>
        <w:t>m</w:t>
      </w:r>
      <w:r>
        <w:t>melt.</w:t>
      </w:r>
    </w:p>
    <w:p w:rsidR="00224C93" w:rsidRPr="005B60E3" w:rsidRDefault="00224C93" w:rsidP="00224C93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[1] H. </w:t>
      </w:r>
      <w:proofErr w:type="spellStart"/>
      <w:r>
        <w:t>Keune</w:t>
      </w:r>
      <w:proofErr w:type="spellEnd"/>
      <w:r>
        <w:t xml:space="preserve">, H. Boeck, Chemische Schulexperimente Band 1 Anorganische Chemie, </w:t>
      </w:r>
      <w:proofErr w:type="spellStart"/>
      <w:r>
        <w:t>Cornelsen</w:t>
      </w:r>
      <w:proofErr w:type="spellEnd"/>
      <w:r>
        <w:t>, 2009, S. 258.</w:t>
      </w:r>
    </w:p>
    <w:p w:rsidR="00224C93" w:rsidRDefault="00224C93" w:rsidP="00224C93">
      <w:pPr>
        <w:tabs>
          <w:tab w:val="left" w:pos="1701"/>
          <w:tab w:val="left" w:pos="1985"/>
        </w:tabs>
      </w:pPr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45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224C93" w:rsidRPr="00F76F10" w:rsidRDefault="00224C93" w:rsidP="00224C9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kann auch mit anderen Metallen in Brom durchgeführt werden. Es muss unter dem Abzug gearbeitet werden.</w:t>
                  </w:r>
                </w:p>
              </w:txbxContent>
            </v:textbox>
            <w10:wrap type="none"/>
            <w10:anchorlock/>
          </v:shape>
        </w:pict>
      </w:r>
    </w:p>
    <w:p w:rsidR="00224C93" w:rsidRDefault="00224C93" w:rsidP="00224C93">
      <w:pPr>
        <w:tabs>
          <w:tab w:val="left" w:pos="1701"/>
          <w:tab w:val="left" w:pos="1985"/>
        </w:tabs>
        <w:ind w:left="1980" w:hanging="1980"/>
      </w:pPr>
    </w:p>
    <w:p w:rsidR="0061367B" w:rsidRDefault="0061367B"/>
    <w:sectPr w:rsidR="0061367B" w:rsidSect="00613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4C93"/>
    <w:rsid w:val="00224C93"/>
    <w:rsid w:val="005368F0"/>
    <w:rsid w:val="0061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9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4C9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4C9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4C9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C9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C9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C9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C9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C9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C9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C9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4C9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4C9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24C9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C9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2014-08-27T16:02:00Z</dcterms:created>
  <dcterms:modified xsi:type="dcterms:W3CDTF">2014-08-27T16:03:00Z</dcterms:modified>
</cp:coreProperties>
</file>