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12" w:rsidRPr="00A940CA" w:rsidRDefault="00012712" w:rsidP="00012712">
      <w:pPr>
        <w:pStyle w:val="berschrift2"/>
        <w:numPr>
          <w:ilvl w:val="0"/>
          <w:numId w:val="0"/>
        </w:numPr>
        <w:ind w:left="576" w:hanging="434"/>
        <w:rPr>
          <w:color w:val="auto"/>
        </w:rPr>
      </w:pPr>
      <w:bookmarkStart w:id="0" w:name="_Toc395717727"/>
      <w:r w:rsidRPr="00A940CA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3EB03" wp14:editId="4ECBACFA">
                <wp:simplePos x="0" y="0"/>
                <wp:positionH relativeFrom="column">
                  <wp:posOffset>-3175</wp:posOffset>
                </wp:positionH>
                <wp:positionV relativeFrom="paragraph">
                  <wp:posOffset>524510</wp:posOffset>
                </wp:positionV>
                <wp:extent cx="5873115" cy="1250315"/>
                <wp:effectExtent l="0" t="0" r="13335" b="26035"/>
                <wp:wrapSquare wrapText="bothSides"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503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2712" w:rsidRPr="00A940CA" w:rsidRDefault="00012712" w:rsidP="00012712">
                            <w:pPr>
                              <w:rPr>
                                <w:color w:val="auto"/>
                              </w:rPr>
                            </w:pPr>
                            <w:r w:rsidRPr="00A940CA">
                              <w:rPr>
                                <w:color w:val="auto"/>
                              </w:rPr>
                              <w:t xml:space="preserve">Dieser Versuch kann je nach Kontext verschiedene Teilaspekte verdeutlichen. Einerseits kann er die freie Diffusion in Flüssigkeiten zeigen, da sich die pinke </w:t>
                            </w:r>
                            <w:proofErr w:type="spellStart"/>
                            <w:r w:rsidRPr="00A940CA">
                              <w:rPr>
                                <w:color w:val="auto"/>
                              </w:rPr>
                              <w:t>Permanganatlösung</w:t>
                            </w:r>
                            <w:proofErr w:type="spellEnd"/>
                            <w:r w:rsidRPr="00A940CA">
                              <w:rPr>
                                <w:color w:val="auto"/>
                              </w:rPr>
                              <w:t xml:space="preserve"> in dem B</w:t>
                            </w:r>
                            <w:r w:rsidRPr="00A940CA">
                              <w:rPr>
                                <w:color w:val="auto"/>
                              </w:rPr>
                              <w:t>e</w:t>
                            </w:r>
                            <w:r w:rsidRPr="00A940CA">
                              <w:rPr>
                                <w:color w:val="auto"/>
                              </w:rPr>
                              <w:t>cherglas verteilt. Andererseits wird hier das Konzept des Teilchenmodells erneut verdeutlicht, da nur bestimmte Teilchen in der Lage sind die Folie zu durchdringen. Es kann über verschi</w:t>
                            </w:r>
                            <w:r w:rsidRPr="00A940CA">
                              <w:rPr>
                                <w:color w:val="auto"/>
                              </w:rPr>
                              <w:t>e</w:t>
                            </w:r>
                            <w:r w:rsidRPr="00A940CA">
                              <w:rPr>
                                <w:color w:val="auto"/>
                              </w:rPr>
                              <w:t>dene Teilchengrößen diskutiert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.25pt;margin-top:41.3pt;width:462.45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012712" w:rsidRPr="00A940CA" w:rsidRDefault="00012712" w:rsidP="00012712">
                      <w:pPr>
                        <w:rPr>
                          <w:color w:val="auto"/>
                        </w:rPr>
                      </w:pPr>
                      <w:r w:rsidRPr="00A940CA">
                        <w:rPr>
                          <w:color w:val="auto"/>
                        </w:rPr>
                        <w:t xml:space="preserve">Dieser Versuch kann je nach Kontext verschiedene Teilaspekte verdeutlichen. Einerseits kann er die freie Diffusion in Flüssigkeiten zeigen, da sich die pinke </w:t>
                      </w:r>
                      <w:proofErr w:type="spellStart"/>
                      <w:r w:rsidRPr="00A940CA">
                        <w:rPr>
                          <w:color w:val="auto"/>
                        </w:rPr>
                        <w:t>Permanganatlösung</w:t>
                      </w:r>
                      <w:proofErr w:type="spellEnd"/>
                      <w:r w:rsidRPr="00A940CA">
                        <w:rPr>
                          <w:color w:val="auto"/>
                        </w:rPr>
                        <w:t xml:space="preserve"> in dem B</w:t>
                      </w:r>
                      <w:r w:rsidRPr="00A940CA">
                        <w:rPr>
                          <w:color w:val="auto"/>
                        </w:rPr>
                        <w:t>e</w:t>
                      </w:r>
                      <w:r w:rsidRPr="00A940CA">
                        <w:rPr>
                          <w:color w:val="auto"/>
                        </w:rPr>
                        <w:t>cherglas verteilt. Andererseits wird hier das Konzept des Teilchenmodells erneut verdeutlicht, da nur bestimmte Teilchen in der Lage sind die Folie zu durchdringen. Es kann über verschi</w:t>
                      </w:r>
                      <w:r w:rsidRPr="00A940CA">
                        <w:rPr>
                          <w:color w:val="auto"/>
                        </w:rPr>
                        <w:t>e</w:t>
                      </w:r>
                      <w:r w:rsidRPr="00A940CA">
                        <w:rPr>
                          <w:color w:val="auto"/>
                        </w:rPr>
                        <w:t>dene Teilchengrößen diskutiert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 w:rsidRPr="00A940CA">
        <w:rPr>
          <w:color w:val="auto"/>
        </w:rPr>
        <w:t>V 1 – Haushaltsfolie als Membran?</w:t>
      </w:r>
      <w:bookmarkEnd w:id="0"/>
    </w:p>
    <w:p w:rsidR="00012712" w:rsidRPr="00A940CA" w:rsidRDefault="00012712" w:rsidP="00012712">
      <w:pPr>
        <w:rPr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12712" w:rsidRPr="00A940CA" w:rsidTr="002346C1">
        <w:tc>
          <w:tcPr>
            <w:tcW w:w="9322" w:type="dxa"/>
            <w:gridSpan w:val="9"/>
            <w:shd w:val="clear" w:color="auto" w:fill="4F81BD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A940CA">
              <w:rPr>
                <w:b/>
                <w:bCs/>
                <w:color w:val="auto"/>
              </w:rPr>
              <w:t>Gefahrenstoffe</w:t>
            </w:r>
          </w:p>
        </w:tc>
      </w:tr>
      <w:tr w:rsidR="00012712" w:rsidRPr="00A940CA" w:rsidTr="002346C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 w:line="276" w:lineRule="auto"/>
              <w:jc w:val="center"/>
              <w:rPr>
                <w:b/>
                <w:bCs/>
                <w:color w:val="auto"/>
              </w:rPr>
            </w:pPr>
            <w:r w:rsidRPr="00A940CA">
              <w:rPr>
                <w:color w:val="auto"/>
                <w:sz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color w:val="auto"/>
                <w:sz w:val="20"/>
              </w:rPr>
              <w:t xml:space="preserve">H: </w:t>
            </w:r>
            <w:r w:rsidRPr="00A940CA">
              <w:rPr>
                <w:color w:val="auto"/>
              </w:rPr>
              <w:t>272-302-410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color w:val="auto"/>
                <w:sz w:val="20"/>
              </w:rPr>
              <w:t xml:space="preserve">P: </w:t>
            </w:r>
            <w:r w:rsidRPr="00A940CA">
              <w:rPr>
                <w:color w:val="auto"/>
              </w:rPr>
              <w:t>210-273</w:t>
            </w:r>
          </w:p>
        </w:tc>
      </w:tr>
      <w:tr w:rsidR="00012712" w:rsidRPr="00A940CA" w:rsidTr="002346C1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940CA">
              <w:rPr>
                <w:color w:val="auto"/>
                <w:sz w:val="20"/>
                <w:szCs w:val="20"/>
              </w:rPr>
              <w:t>Iod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012712" w:rsidRPr="00A940CA" w:rsidRDefault="00012712" w:rsidP="002346C1">
            <w:pPr>
              <w:pStyle w:val="Beschriftung"/>
              <w:spacing w:after="0"/>
              <w:jc w:val="center"/>
              <w:rPr>
                <w:sz w:val="20"/>
              </w:rPr>
            </w:pPr>
            <w:r w:rsidRPr="00A940CA">
              <w:rPr>
                <w:sz w:val="20"/>
              </w:rPr>
              <w:t xml:space="preserve">H: </w:t>
            </w:r>
            <w:r w:rsidRPr="00A940CA">
              <w:rPr>
                <w:sz w:val="22"/>
                <w:szCs w:val="22"/>
              </w:rPr>
              <w:t>332-312-400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12712" w:rsidRPr="00A940CA" w:rsidRDefault="00012712" w:rsidP="002346C1">
            <w:pPr>
              <w:pStyle w:val="Beschriftung"/>
              <w:spacing w:after="0"/>
              <w:jc w:val="center"/>
              <w:rPr>
                <w:sz w:val="20"/>
              </w:rPr>
            </w:pPr>
            <w:r w:rsidRPr="00A940CA">
              <w:rPr>
                <w:sz w:val="20"/>
              </w:rPr>
              <w:t xml:space="preserve">P: </w:t>
            </w:r>
            <w:hyperlink r:id="rId6" w:anchor="P-S.C3.A4tze" w:tooltip="H- und P-Sätze" w:history="1">
              <w:r w:rsidRPr="00A940CA">
                <w:rPr>
                  <w:rStyle w:val="Hyperlink"/>
                  <w:sz w:val="20"/>
                </w:rPr>
                <w:t>273</w:t>
              </w:r>
            </w:hyperlink>
            <w:r w:rsidRPr="00A940CA">
              <w:rPr>
                <w:sz w:val="20"/>
              </w:rPr>
              <w:t>-​</w:t>
            </w:r>
            <w:hyperlink r:id="rId7" w:anchor="P-S.C3.A4tze" w:tooltip="H- und P-Sätze" w:history="1">
              <w:r w:rsidRPr="00A940CA">
                <w:rPr>
                  <w:rStyle w:val="Hyperlink"/>
                  <w:sz w:val="20"/>
                </w:rPr>
                <w:t>302+352</w:t>
              </w:r>
            </w:hyperlink>
          </w:p>
        </w:tc>
      </w:tr>
      <w:tr w:rsidR="00012712" w:rsidRPr="00A940CA" w:rsidTr="002346C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A940CA">
              <w:rPr>
                <w:b/>
                <w:noProof/>
                <w:color w:val="auto"/>
                <w:lang w:eastAsia="de-DE"/>
              </w:rPr>
              <w:drawing>
                <wp:inline distT="0" distB="0" distL="0" distR="0" wp14:anchorId="50B6385E" wp14:editId="799D5027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0B35F1AE" wp14:editId="2F855184">
                  <wp:extent cx="500380" cy="49149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lum bright="11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76A2333B" wp14:editId="47944828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234CFA87" wp14:editId="5B33D9D8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7BCBB557" wp14:editId="50F8CACF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725A7C45" wp14:editId="145E53B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538245A9" wp14:editId="47B753AA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3E877B03" wp14:editId="6E86E932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12712" w:rsidRPr="00A940CA" w:rsidRDefault="00012712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319DA814" wp14:editId="0845C490">
                  <wp:extent cx="577850" cy="569595"/>
                  <wp:effectExtent l="0" t="0" r="0" b="190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712" w:rsidRPr="00A940CA" w:rsidRDefault="00012712" w:rsidP="00012712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A940CA">
        <w:rPr>
          <w:noProof/>
          <w:color w:val="auto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B1A00F" wp14:editId="66562C40">
                <wp:simplePos x="0" y="0"/>
                <wp:positionH relativeFrom="margin">
                  <wp:posOffset>3629025</wp:posOffset>
                </wp:positionH>
                <wp:positionV relativeFrom="margin">
                  <wp:posOffset>4430395</wp:posOffset>
                </wp:positionV>
                <wp:extent cx="2303780" cy="2052955"/>
                <wp:effectExtent l="0" t="0" r="1270" b="0"/>
                <wp:wrapSquare wrapText="bothSides"/>
                <wp:docPr id="74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2052955"/>
                          <a:chOff x="0" y="0"/>
                          <a:chExt cx="2304256" cy="2054115"/>
                        </a:xfrm>
                      </wpg:grpSpPr>
                      <pic:pic xmlns:pic="http://schemas.openxmlformats.org/drawingml/2006/picture">
                        <pic:nvPicPr>
                          <pic:cNvPr id="75" name="Grafik 7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256" cy="1728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feld 2"/>
                        <wps:cNvSpPr txBox="1"/>
                        <wps:spPr>
                          <a:xfrm>
                            <a:off x="0" y="1831111"/>
                            <a:ext cx="2304256" cy="2230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12712" w:rsidRPr="00F21439" w:rsidRDefault="00012712" w:rsidP="00012712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2143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Abb. 1:</w:t>
                              </w:r>
                              <w:r w:rsidRPr="00F2143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Haushaltsfolie als Membran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" o:spid="_x0000_s1027" style="position:absolute;left:0;text-align:left;margin-left:285.75pt;margin-top:348.85pt;width:181.4pt;height:161.65pt;z-index:251660288;mso-position-horizontal-relative:margin;mso-position-vertical-relative:margin;mso-height-relative:margin" coordsize="23042,20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5" o:spid="_x0000_s1028" type="#_x0000_t75" style="position:absolute;width:23042;height:17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6FVHAAAAA2wAAAA8AAABkcnMvZG93bnJldi54bWxET91qwjAUvhf2DuEMvNN0A3VWowxF0Kkw&#10;qw9waI5tWXNSmrTWt18EwcuP73++7EwpWqpdYVnBxzACQZxaXXCm4HLeDL5AOI+ssbRMCu7kYLl4&#10;680x1vbGJ2oTn4kQwi5GBbn3VSylS3My6Ia2Ig7c1dYGfYB1JnWNtxBuSvkZRWNpsODQkGNFq5zS&#10;v6QxClaHNtkfmjsep0Tr3c/utzmGPar/3n3PQHjq/Ev8dG+1gskIHl/CD5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oVUcAAAADbAAAADwAAAAAAAAAAAAAAAACfAgAA&#10;ZHJzL2Rvd25yZXYueG1sUEsFBgAAAAAEAAQA9wAAAIwDAAAAAA==&#10;">
                  <v:imagedata r:id="rId19" o:title=""/>
                  <v:path arrowok="t"/>
                </v:shape>
                <v:shape id="Textfeld 2" o:spid="_x0000_s1029" type="#_x0000_t202" style="position:absolute;top:18311;width:23042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<v:textbox style="mso-fit-shape-to-text:t">
                    <w:txbxContent>
                      <w:p w:rsidR="00012712" w:rsidRPr="00F21439" w:rsidRDefault="00012712" w:rsidP="00012712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2143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Abb. 1:</w:t>
                        </w:r>
                        <w:r w:rsidRPr="00F2143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Haushaltsfolie als Membran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012712" w:rsidRPr="00A940CA" w:rsidRDefault="00012712" w:rsidP="00012712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A940CA">
        <w:rPr>
          <w:color w:val="auto"/>
        </w:rPr>
        <w:t xml:space="preserve">Materialien: </w:t>
      </w:r>
      <w:r w:rsidRPr="00A940CA">
        <w:rPr>
          <w:color w:val="auto"/>
        </w:rPr>
        <w:tab/>
      </w:r>
      <w:r w:rsidRPr="00A940CA">
        <w:rPr>
          <w:color w:val="auto"/>
        </w:rPr>
        <w:tab/>
        <w:t>Stativ mit Reagen</w:t>
      </w:r>
      <w:r>
        <w:rPr>
          <w:color w:val="auto"/>
        </w:rPr>
        <w:t>z</w:t>
      </w:r>
      <w:r w:rsidRPr="00A940CA">
        <w:rPr>
          <w:color w:val="auto"/>
        </w:rPr>
        <w:t>glasklemmen, zwei Reagenzgläser, Haushaltsfolie, Gu</w:t>
      </w:r>
      <w:r w:rsidRPr="00A940CA">
        <w:rPr>
          <w:color w:val="auto"/>
        </w:rPr>
        <w:t>m</w:t>
      </w:r>
      <w:r w:rsidRPr="00A940CA">
        <w:rPr>
          <w:color w:val="auto"/>
        </w:rPr>
        <w:t>mibänder, zwei Bechergläser</w:t>
      </w:r>
    </w:p>
    <w:p w:rsidR="00012712" w:rsidRPr="00A940CA" w:rsidRDefault="00012712" w:rsidP="00012712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A940CA">
        <w:rPr>
          <w:color w:val="auto"/>
        </w:rPr>
        <w:t>Chemikalien:</w:t>
      </w:r>
      <w:r w:rsidRPr="00A940CA">
        <w:rPr>
          <w:color w:val="auto"/>
        </w:rPr>
        <w:tab/>
      </w:r>
      <w:r w:rsidRPr="00A940CA">
        <w:rPr>
          <w:color w:val="auto"/>
        </w:rPr>
        <w:tab/>
        <w:t>Kaliumpermanganat, Iod, Kaliumiodid, Stärkelösung, Wasser</w:t>
      </w:r>
    </w:p>
    <w:p w:rsidR="00012712" w:rsidRPr="00A940CA" w:rsidRDefault="00012712" w:rsidP="00012712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A940CA">
        <w:rPr>
          <w:color w:val="auto"/>
        </w:rPr>
        <w:t xml:space="preserve">Durchführung: </w:t>
      </w:r>
      <w:r w:rsidRPr="00A940CA">
        <w:rPr>
          <w:color w:val="auto"/>
        </w:rPr>
        <w:tab/>
      </w:r>
      <w:r w:rsidRPr="00A940CA">
        <w:rPr>
          <w:color w:val="auto"/>
        </w:rPr>
        <w:tab/>
        <w:t xml:space="preserve">In beide Reagenzgläser wird etwa bis zur Hälfte entweder </w:t>
      </w:r>
      <w:proofErr w:type="spellStart"/>
      <w:r w:rsidRPr="00A940CA">
        <w:rPr>
          <w:color w:val="auto"/>
        </w:rPr>
        <w:t>Kaliumperma</w:t>
      </w:r>
      <w:r w:rsidRPr="00A940CA">
        <w:rPr>
          <w:color w:val="auto"/>
        </w:rPr>
        <w:t>n</w:t>
      </w:r>
      <w:r w:rsidRPr="00A940CA">
        <w:rPr>
          <w:color w:val="auto"/>
        </w:rPr>
        <w:t>ganatlösung</w:t>
      </w:r>
      <w:proofErr w:type="spellEnd"/>
      <w:r w:rsidRPr="00A940CA">
        <w:rPr>
          <w:color w:val="auto"/>
        </w:rPr>
        <w:t xml:space="preserve"> bzw. Iod-Stärke-Lösung (Iod löst sich besser mit Kaliumiodid) gegeben. Beide Reagenzgläser werden mit Haushaltsfolie verschlossen und mit Gummibändern abgedichtet. Beide Reagenzgläser werden kopfüber in ein Becherglas mit Wasser g</w:t>
      </w:r>
      <w:r w:rsidRPr="00A940CA">
        <w:rPr>
          <w:color w:val="auto"/>
        </w:rPr>
        <w:t>e</w:t>
      </w:r>
      <w:r w:rsidRPr="00A940CA">
        <w:rPr>
          <w:color w:val="auto"/>
        </w:rPr>
        <w:t>hängt.</w:t>
      </w:r>
    </w:p>
    <w:p w:rsidR="00012712" w:rsidRPr="00A940CA" w:rsidRDefault="00012712" w:rsidP="00012712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A940CA">
        <w:rPr>
          <w:color w:val="auto"/>
        </w:rPr>
        <w:t>Beobachtung:</w:t>
      </w:r>
      <w:r w:rsidRPr="00A940CA">
        <w:rPr>
          <w:color w:val="auto"/>
        </w:rPr>
        <w:tab/>
      </w:r>
      <w:r w:rsidRPr="00A940CA">
        <w:rPr>
          <w:color w:val="auto"/>
        </w:rPr>
        <w:tab/>
        <w:t>Nach kurzer Zeit ist in dem B</w:t>
      </w:r>
      <w:r w:rsidRPr="00A940CA">
        <w:rPr>
          <w:color w:val="auto"/>
        </w:rPr>
        <w:t>e</w:t>
      </w:r>
      <w:r w:rsidRPr="00A940CA">
        <w:rPr>
          <w:color w:val="auto"/>
        </w:rPr>
        <w:t>cherglas mit Kaliumpermanganat ein Diffusionsvorgang zu beobac</w:t>
      </w:r>
      <w:r w:rsidRPr="00A940CA">
        <w:rPr>
          <w:color w:val="auto"/>
        </w:rPr>
        <w:t>h</w:t>
      </w:r>
      <w:r w:rsidRPr="00A940CA">
        <w:rPr>
          <w:color w:val="auto"/>
        </w:rPr>
        <w:t>ten (pinke Färbung). Das Wasser in dem Becherglas mit der Iod-Stärke-Lösung bleibt klar.</w:t>
      </w:r>
      <w:r w:rsidRPr="00A940CA">
        <w:rPr>
          <w:noProof/>
          <w:color w:val="auto"/>
          <w:lang w:eastAsia="de-DE"/>
        </w:rPr>
        <w:t xml:space="preserve"> </w:t>
      </w:r>
    </w:p>
    <w:p w:rsidR="00012712" w:rsidRPr="00A940CA" w:rsidRDefault="00012712" w:rsidP="00012712">
      <w:pPr>
        <w:tabs>
          <w:tab w:val="left" w:pos="1701"/>
          <w:tab w:val="left" w:pos="1985"/>
        </w:tabs>
        <w:ind w:left="1985" w:hanging="1985"/>
        <w:rPr>
          <w:rFonts w:eastAsiaTheme="minorEastAsia"/>
          <w:color w:val="auto"/>
        </w:rPr>
      </w:pPr>
      <w:r w:rsidRPr="00A940CA">
        <w:rPr>
          <w:color w:val="auto"/>
        </w:rPr>
        <w:t>Deutung:</w:t>
      </w:r>
      <w:r w:rsidRPr="00A940CA">
        <w:rPr>
          <w:color w:val="auto"/>
        </w:rPr>
        <w:tab/>
      </w:r>
      <w:r w:rsidRPr="00A940CA">
        <w:rPr>
          <w:color w:val="auto"/>
        </w:rPr>
        <w:tab/>
        <w:t>Die Haushaltsfolie hat Poren einer defi</w:t>
      </w:r>
      <w:r>
        <w:rPr>
          <w:color w:val="auto"/>
        </w:rPr>
        <w:t xml:space="preserve">nierten Größe. Die Teilchen der </w:t>
      </w:r>
      <w:proofErr w:type="spellStart"/>
      <w:r w:rsidRPr="00A940CA">
        <w:rPr>
          <w:color w:val="auto"/>
        </w:rPr>
        <w:t>Kaliumpermanganatlösung</w:t>
      </w:r>
      <w:proofErr w:type="spellEnd"/>
      <w:r w:rsidRPr="00A940CA">
        <w:rPr>
          <w:color w:val="auto"/>
        </w:rPr>
        <w:t xml:space="preserve"> können durch diese Poren hindurch </w:t>
      </w:r>
      <w:r w:rsidRPr="00A940CA">
        <w:rPr>
          <w:color w:val="auto"/>
        </w:rPr>
        <w:lastRenderedPageBreak/>
        <w:t>diffu</w:t>
      </w:r>
      <w:r w:rsidRPr="00A940CA">
        <w:rPr>
          <w:color w:val="auto"/>
        </w:rPr>
        <w:t>n</w:t>
      </w:r>
      <w:r w:rsidRPr="00A940CA">
        <w:rPr>
          <w:color w:val="auto"/>
        </w:rPr>
        <w:t>dieren. Die Teilchen der Iod-Stärke-Lösung sind hingegen zu groß und verbleiben im Reagenzglas.</w:t>
      </w:r>
    </w:p>
    <w:p w:rsidR="00012712" w:rsidRPr="00A940CA" w:rsidRDefault="00012712" w:rsidP="00012712">
      <w:pPr>
        <w:jc w:val="left"/>
        <w:rPr>
          <w:color w:val="auto"/>
        </w:rPr>
      </w:pPr>
      <w:r>
        <w:rPr>
          <w:color w:val="auto"/>
        </w:rPr>
        <w:t>Entsorgung:</w:t>
      </w:r>
      <w:r>
        <w:rPr>
          <w:color w:val="auto"/>
        </w:rPr>
        <w:tab/>
      </w:r>
      <w:r>
        <w:rPr>
          <w:color w:val="auto"/>
        </w:rPr>
        <w:tab/>
      </w:r>
      <w:r w:rsidRPr="00A940CA">
        <w:rPr>
          <w:color w:val="auto"/>
        </w:rPr>
        <w:t xml:space="preserve">Die Iod-Stärke-Lösung kann mit </w:t>
      </w:r>
      <w:proofErr w:type="spellStart"/>
      <w:r w:rsidRPr="00A940CA">
        <w:rPr>
          <w:color w:val="auto"/>
        </w:rPr>
        <w:t>Natriumthiosulfatlösung</w:t>
      </w:r>
      <w:proofErr w:type="spellEnd"/>
      <w:r w:rsidRPr="00A940CA">
        <w:rPr>
          <w:color w:val="auto"/>
        </w:rPr>
        <w:t xml:space="preserve"> behandelt wer-</w:t>
      </w:r>
      <w:r w:rsidRPr="00A940CA">
        <w:rPr>
          <w:color w:val="auto"/>
        </w:rPr>
        <w:tab/>
      </w:r>
      <w:r w:rsidRPr="00A940CA">
        <w:rPr>
          <w:color w:val="auto"/>
        </w:rPr>
        <w:tab/>
      </w:r>
      <w:r w:rsidRPr="00A940CA">
        <w:rPr>
          <w:color w:val="auto"/>
        </w:rPr>
        <w:tab/>
        <w:t xml:space="preserve">den und in den Ausguss gegeben werden. Die </w:t>
      </w:r>
      <w:proofErr w:type="spellStart"/>
      <w:r w:rsidRPr="00A940CA">
        <w:rPr>
          <w:color w:val="auto"/>
        </w:rPr>
        <w:t>Kaliumpermanganatlösung</w:t>
      </w:r>
      <w:proofErr w:type="spellEnd"/>
      <w:r w:rsidRPr="00A940CA">
        <w:rPr>
          <w:color w:val="auto"/>
        </w:rPr>
        <w:t xml:space="preserve"> </w:t>
      </w:r>
      <w:r w:rsidRPr="00A940CA">
        <w:rPr>
          <w:color w:val="auto"/>
        </w:rPr>
        <w:tab/>
      </w:r>
      <w:r w:rsidRPr="00A940CA">
        <w:rPr>
          <w:color w:val="auto"/>
        </w:rPr>
        <w:tab/>
      </w:r>
      <w:r w:rsidRPr="00A940CA">
        <w:rPr>
          <w:color w:val="auto"/>
        </w:rPr>
        <w:tab/>
        <w:t>muss in den Schwermetallabfall gegeben werden.</w:t>
      </w:r>
    </w:p>
    <w:p w:rsidR="00012712" w:rsidRPr="00012712" w:rsidRDefault="00012712" w:rsidP="00012712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>
        <w:rPr>
          <w:color w:val="auto"/>
        </w:rPr>
        <w:t>Literatur:</w:t>
      </w:r>
      <w:r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  <w:tab/>
      </w:r>
      <w:r w:rsidRPr="00A940CA">
        <w:rPr>
          <w:color w:val="auto"/>
        </w:rPr>
        <w:t xml:space="preserve">Mareike Wilms, </w:t>
      </w:r>
      <w:r w:rsidRPr="00A940CA">
        <w:rPr>
          <w:rStyle w:val="Hervorhebung"/>
          <w:color w:val="auto"/>
        </w:rPr>
        <w:t>Martin Fach</w:t>
      </w:r>
      <w:r w:rsidRPr="00A940CA">
        <w:rPr>
          <w:color w:val="auto"/>
        </w:rPr>
        <w:t xml:space="preserve">, Jens Friedrich, Marco </w:t>
      </w:r>
      <w:proofErr w:type="spellStart"/>
      <w:r w:rsidRPr="00A940CA">
        <w:rPr>
          <w:color w:val="auto"/>
        </w:rPr>
        <w:t>Oetken</w:t>
      </w:r>
      <w:proofErr w:type="spellEnd"/>
      <w:r w:rsidRPr="00A940CA">
        <w:rPr>
          <w:color w:val="auto"/>
        </w:rPr>
        <w:t xml:space="preserve"> (2004):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940CA">
        <w:rPr>
          <w:color w:val="auto"/>
        </w:rPr>
        <w:t>"</w:t>
      </w:r>
      <w:r w:rsidRPr="00A940CA">
        <w:rPr>
          <w:rStyle w:val="Hervorhebung"/>
          <w:color w:val="auto"/>
        </w:rPr>
        <w:t>Molekulares Sieben</w:t>
      </w:r>
      <w:r w:rsidRPr="00A940CA">
        <w:rPr>
          <w:color w:val="auto"/>
        </w:rPr>
        <w:t xml:space="preserve">: Mit Einmachfolie ins </w:t>
      </w:r>
      <w:proofErr w:type="spellStart"/>
      <w:r w:rsidRPr="00A940CA">
        <w:rPr>
          <w:color w:val="auto"/>
        </w:rPr>
        <w:t>Diskontinuum</w:t>
      </w:r>
      <w:proofErr w:type="spellEnd"/>
      <w:r w:rsidRPr="00A940CA">
        <w:rPr>
          <w:color w:val="auto"/>
        </w:rPr>
        <w:t xml:space="preserve">", CHEMKON, 11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940CA">
        <w:rPr>
          <w:color w:val="auto"/>
        </w:rPr>
        <w:t>(3), S. 127-130</w:t>
      </w:r>
    </w:p>
    <w:p w:rsidR="00012712" w:rsidRPr="00A940CA" w:rsidRDefault="00012712" w:rsidP="00012712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w:r w:rsidRPr="00A940CA">
        <w:rPr>
          <w:noProof/>
          <w:color w:val="auto"/>
          <w:lang w:eastAsia="de-DE"/>
        </w:rPr>
        <mc:AlternateContent>
          <mc:Choice Requires="wps">
            <w:drawing>
              <wp:inline distT="0" distB="0" distL="0" distR="0" wp14:anchorId="7036D0D9" wp14:editId="01F7120B">
                <wp:extent cx="5873115" cy="1328468"/>
                <wp:effectExtent l="0" t="0" r="13335" b="24130"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2846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2712" w:rsidRPr="00A940CA" w:rsidRDefault="00012712" w:rsidP="00012712">
                            <w:pPr>
                              <w:rPr>
                                <w:color w:val="auto"/>
                              </w:rPr>
                            </w:pPr>
                            <w:r w:rsidRPr="00A940CA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 w:rsidRPr="00A940CA">
                              <w:rPr>
                                <w:color w:val="auto"/>
                              </w:rPr>
                              <w:t>Dieser Versuch beinhaltet beide Konzepte der Diffusion und des Teilchenmodells. Allerdings eignet er sich möglicherweise besser, um das Teilchenmodell zu ve</w:t>
                            </w:r>
                            <w:r w:rsidRPr="00A940CA">
                              <w:rPr>
                                <w:color w:val="auto"/>
                              </w:rPr>
                              <w:t>r</w:t>
                            </w:r>
                            <w:r w:rsidRPr="00A940CA">
                              <w:rPr>
                                <w:color w:val="auto"/>
                              </w:rPr>
                              <w:t xml:space="preserve">deutlichen, da, um diesen Aspekt zu verstehen, zunächst die Diffusion als freie Bewegung der Teilchen bekannt sein sollte. Um manuelles Geschick der </w:t>
                            </w:r>
                            <w:proofErr w:type="spellStart"/>
                            <w:r w:rsidRPr="00A940CA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A940CA">
                              <w:rPr>
                                <w:color w:val="auto"/>
                              </w:rPr>
                              <w:t xml:space="preserve"> zu fördern kann dieser Versuch auch als SV eingesetzt werden, da alle Chemikalien freigegeben sind.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30" type="#_x0000_t202" style="width:462.45pt;height:10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012712" w:rsidRPr="00A940CA" w:rsidRDefault="00012712" w:rsidP="00012712">
                      <w:pPr>
                        <w:rPr>
                          <w:color w:val="auto"/>
                        </w:rPr>
                      </w:pPr>
                      <w:r w:rsidRPr="00A940CA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 w:rsidRPr="00A940CA">
                        <w:rPr>
                          <w:color w:val="auto"/>
                        </w:rPr>
                        <w:t>Dieser Versuch beinhaltet beide Konzepte der Diffusion und des Teilchenmodells. Allerdings eignet er sich möglicherweise besser, um das Teilchenmodell zu ve</w:t>
                      </w:r>
                      <w:r w:rsidRPr="00A940CA">
                        <w:rPr>
                          <w:color w:val="auto"/>
                        </w:rPr>
                        <w:t>r</w:t>
                      </w:r>
                      <w:r w:rsidRPr="00A940CA">
                        <w:rPr>
                          <w:color w:val="auto"/>
                        </w:rPr>
                        <w:t xml:space="preserve">deutlichen, da, um diesen Aspekt zu verstehen, zunächst die Diffusion als freie Bewegung der Teilchen bekannt sein sollte. Um manuelles Geschick der </w:t>
                      </w:r>
                      <w:proofErr w:type="spellStart"/>
                      <w:r w:rsidRPr="00A940CA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A940CA">
                        <w:rPr>
                          <w:color w:val="auto"/>
                        </w:rPr>
                        <w:t xml:space="preserve"> zu fördern kann dieser Versuch auch als SV eingesetzt werden, da alle Chemikalien freigegeben sind.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970" w:rsidRDefault="00012712"/>
    <w:sectPr w:rsidR="00DD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12"/>
    <w:rsid w:val="00012712"/>
    <w:rsid w:val="0080710C"/>
    <w:rsid w:val="008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271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271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271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271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71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7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7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7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7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7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71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271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271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7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12712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1271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127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12712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712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271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271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271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271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71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7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7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7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7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7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71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271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271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7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12712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1271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127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12712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71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2014-08-26T14:11:00Z</dcterms:created>
  <dcterms:modified xsi:type="dcterms:W3CDTF">2014-08-26T14:13:00Z</dcterms:modified>
</cp:coreProperties>
</file>