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8A" w:rsidRPr="00A940CA" w:rsidRDefault="007E598A" w:rsidP="007E598A">
      <w:pPr>
        <w:pStyle w:val="berschrift1"/>
        <w:numPr>
          <w:ilvl w:val="0"/>
          <w:numId w:val="0"/>
        </w:numPr>
        <w:jc w:val="left"/>
        <w:rPr>
          <w:color w:val="auto"/>
        </w:rPr>
      </w:pPr>
      <w:bookmarkStart w:id="0" w:name="_Toc395717734"/>
      <w:r w:rsidRPr="00A940CA">
        <w:rPr>
          <w:color w:val="auto"/>
        </w:rPr>
        <w:t>Arbeitsblatt „Haushaltsfolie als Membran</w:t>
      </w:r>
      <w:bookmarkEnd w:id="0"/>
      <w:r w:rsidRPr="00A940CA">
        <w:rPr>
          <w:color w:val="auto"/>
        </w:rPr>
        <w:t>“</w:t>
      </w:r>
    </w:p>
    <w:tbl>
      <w:tblPr>
        <w:tblStyle w:val="Tabellenraster"/>
        <w:tblW w:w="0" w:type="auto"/>
        <w:tblInd w:w="360" w:type="dxa"/>
        <w:tblLook w:val="04A0" w:firstRow="1" w:lastRow="0" w:firstColumn="1" w:lastColumn="0" w:noHBand="0" w:noVBand="1"/>
      </w:tblPr>
      <w:tblGrid>
        <w:gridCol w:w="1591"/>
        <w:gridCol w:w="5812"/>
        <w:gridCol w:w="1525"/>
      </w:tblGrid>
      <w:tr w:rsidR="007E598A" w:rsidRPr="00A940CA" w:rsidTr="002346C1">
        <w:tc>
          <w:tcPr>
            <w:tcW w:w="1591" w:type="dxa"/>
          </w:tcPr>
          <w:p w:rsidR="007E598A" w:rsidRPr="00A940CA" w:rsidRDefault="007E598A" w:rsidP="002346C1">
            <w:pPr>
              <w:jc w:val="center"/>
              <w:rPr>
                <w:color w:val="auto"/>
              </w:rPr>
            </w:pPr>
            <w:r w:rsidRPr="00A940CA">
              <w:rPr>
                <w:color w:val="auto"/>
              </w:rPr>
              <w:t>Name</w:t>
            </w:r>
          </w:p>
        </w:tc>
        <w:tc>
          <w:tcPr>
            <w:tcW w:w="5812" w:type="dxa"/>
          </w:tcPr>
          <w:p w:rsidR="007E598A" w:rsidRPr="00A940CA" w:rsidRDefault="007E598A" w:rsidP="002346C1">
            <w:pPr>
              <w:jc w:val="center"/>
              <w:rPr>
                <w:color w:val="auto"/>
              </w:rPr>
            </w:pPr>
            <w:r w:rsidRPr="00A940CA">
              <w:rPr>
                <w:color w:val="auto"/>
              </w:rPr>
              <w:t>Arbeitsblatt „Haushaltsfolie als Membran“</w:t>
            </w:r>
          </w:p>
        </w:tc>
        <w:tc>
          <w:tcPr>
            <w:tcW w:w="1525" w:type="dxa"/>
          </w:tcPr>
          <w:p w:rsidR="007E598A" w:rsidRPr="00A940CA" w:rsidRDefault="007E598A" w:rsidP="002346C1">
            <w:pPr>
              <w:jc w:val="center"/>
              <w:rPr>
                <w:color w:val="auto"/>
              </w:rPr>
            </w:pPr>
            <w:r w:rsidRPr="00A940CA">
              <w:rPr>
                <w:color w:val="auto"/>
              </w:rPr>
              <w:t>Datum</w:t>
            </w:r>
          </w:p>
          <w:p w:rsidR="007E598A" w:rsidRPr="00A940CA" w:rsidRDefault="007E598A" w:rsidP="002346C1">
            <w:pPr>
              <w:rPr>
                <w:color w:val="auto"/>
              </w:rPr>
            </w:pPr>
          </w:p>
        </w:tc>
      </w:tr>
    </w:tbl>
    <w:p w:rsidR="007E598A" w:rsidRPr="00A940CA" w:rsidRDefault="007E598A" w:rsidP="007E598A">
      <w:pPr>
        <w:ind w:left="360"/>
        <w:rPr>
          <w:color w:val="auto"/>
        </w:rPr>
      </w:pPr>
      <w:bookmarkStart w:id="1" w:name="_GoBack"/>
      <w:r w:rsidRPr="00A940CA">
        <w:rPr>
          <w:noProof/>
          <w:color w:val="auto"/>
          <w:lang w:eastAsia="de-DE"/>
        </w:rPr>
        <w:drawing>
          <wp:anchor distT="0" distB="0" distL="114300" distR="114300" simplePos="0" relativeHeight="251659264" behindDoc="0" locked="0" layoutInCell="1" allowOverlap="1" wp14:anchorId="7A4652F5" wp14:editId="76E985A0">
            <wp:simplePos x="0" y="0"/>
            <wp:positionH relativeFrom="margin">
              <wp:posOffset>3799205</wp:posOffset>
            </wp:positionH>
            <wp:positionV relativeFrom="margin">
              <wp:posOffset>1392555</wp:posOffset>
            </wp:positionV>
            <wp:extent cx="1974850" cy="1480820"/>
            <wp:effectExtent l="0" t="0" r="6350" b="5080"/>
            <wp:wrapSquare wrapText="bothSides"/>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1974850" cy="1480820"/>
                    </a:xfrm>
                    <a:prstGeom prst="rect">
                      <a:avLst/>
                    </a:prstGeom>
                  </pic:spPr>
                </pic:pic>
              </a:graphicData>
            </a:graphic>
            <wp14:sizeRelH relativeFrom="margin">
              <wp14:pctWidth>0</wp14:pctWidth>
            </wp14:sizeRelH>
            <wp14:sizeRelV relativeFrom="margin">
              <wp14:pctHeight>0</wp14:pctHeight>
            </wp14:sizeRelV>
          </wp:anchor>
        </w:drawing>
      </w:r>
      <w:bookmarkEnd w:id="1"/>
    </w:p>
    <w:p w:rsidR="007E598A" w:rsidRPr="00A940CA" w:rsidRDefault="007E598A" w:rsidP="007E598A">
      <w:pPr>
        <w:rPr>
          <w:color w:val="auto"/>
        </w:rPr>
      </w:pPr>
      <w:r w:rsidRPr="00A940CA">
        <w:rPr>
          <w:color w:val="auto"/>
        </w:rPr>
        <w:t>1.) Beschreibe den Versuchsaufbau kurz in eigenen Worten!</w:t>
      </w:r>
    </w:p>
    <w:p w:rsidR="007E598A" w:rsidRPr="00A940CA" w:rsidRDefault="007E598A" w:rsidP="007E598A">
      <w:pPr>
        <w:rPr>
          <w:color w:val="auto"/>
        </w:rPr>
      </w:pPr>
      <w:r w:rsidRPr="00A940CA">
        <w:rPr>
          <w:color w:val="auto"/>
        </w:rPr>
        <w:t>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2.) Erkläre zunächst den Vorgang im linken Becherglas!</w:t>
      </w:r>
    </w:p>
    <w:p w:rsidR="007E598A" w:rsidRPr="00A940CA" w:rsidRDefault="007E598A" w:rsidP="007E598A">
      <w:pPr>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rPr>
          <w:color w:val="auto"/>
        </w:rPr>
      </w:pPr>
      <w:r w:rsidRPr="00A940CA">
        <w:rPr>
          <w:color w:val="auto"/>
        </w:rPr>
        <w:t>3.) Stelle begründet eine Hypothese auf, warum in das linke Becherglas Kaliumpermanganat eintreten kann, in das rechte Becherglas jedoch keine Iod-Stärke eintreten kann!</w:t>
      </w:r>
    </w:p>
    <w:p w:rsidR="007E598A" w:rsidRPr="00A940CA" w:rsidRDefault="007E598A" w:rsidP="007E598A">
      <w:pPr>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tabs>
          <w:tab w:val="left" w:pos="6804"/>
        </w:tabs>
        <w:rPr>
          <w:color w:val="auto"/>
        </w:rPr>
      </w:pPr>
      <w:r w:rsidRPr="00A940CA">
        <w:rPr>
          <w:color w:val="auto"/>
        </w:rPr>
        <w:t>_______________________________________________________________________________________________________________</w:t>
      </w:r>
    </w:p>
    <w:p w:rsidR="007E598A" w:rsidRPr="00A940CA" w:rsidRDefault="007E598A" w:rsidP="007E598A">
      <w:pPr>
        <w:rPr>
          <w:color w:val="auto"/>
        </w:rPr>
        <w:sectPr w:rsidR="007E598A" w:rsidRPr="00A940CA" w:rsidSect="00B7553E">
          <w:headerReference w:type="default" r:id="rId7"/>
          <w:pgSz w:w="11906" w:h="16838"/>
          <w:pgMar w:top="1417" w:right="1417" w:bottom="709" w:left="1417" w:header="708" w:footer="708" w:gutter="0"/>
          <w:pgNumType w:start="9"/>
          <w:cols w:space="708"/>
          <w:docGrid w:linePitch="360"/>
        </w:sectPr>
      </w:pPr>
    </w:p>
    <w:p w:rsidR="007E598A" w:rsidRPr="00A940CA" w:rsidRDefault="007E598A" w:rsidP="007E598A">
      <w:pPr>
        <w:pStyle w:val="berschrift1"/>
        <w:tabs>
          <w:tab w:val="left" w:pos="5670"/>
        </w:tabs>
        <w:rPr>
          <w:color w:val="auto"/>
        </w:rPr>
      </w:pPr>
      <w:r>
        <w:rPr>
          <w:color w:val="auto"/>
        </w:rPr>
        <w:lastRenderedPageBreak/>
        <w:t>Didaktischer Kommentar</w:t>
      </w:r>
    </w:p>
    <w:p w:rsidR="007E598A" w:rsidRPr="00A940CA" w:rsidRDefault="007E598A" w:rsidP="007E598A">
      <w:pPr>
        <w:rPr>
          <w:color w:val="auto"/>
        </w:rPr>
      </w:pPr>
      <w:r w:rsidRPr="00A940CA">
        <w:rPr>
          <w:color w:val="auto"/>
        </w:rPr>
        <w:t>Das Arbeitsblatt kann begleitend zum experimentellen Unterricht als ein Versuchsprotokoll g</w:t>
      </w:r>
      <w:r w:rsidRPr="00A940CA">
        <w:rPr>
          <w:color w:val="auto"/>
        </w:rPr>
        <w:t>e</w:t>
      </w:r>
      <w:r w:rsidRPr="00A940CA">
        <w:rPr>
          <w:color w:val="auto"/>
        </w:rPr>
        <w:t xml:space="preserve">geben werden. Insbesondere, wenn die </w:t>
      </w:r>
      <w:proofErr w:type="spellStart"/>
      <w:r w:rsidRPr="00A940CA">
        <w:rPr>
          <w:color w:val="auto"/>
        </w:rPr>
        <w:t>SuS</w:t>
      </w:r>
      <w:proofErr w:type="spellEnd"/>
      <w:r w:rsidRPr="00A940CA">
        <w:rPr>
          <w:color w:val="auto"/>
        </w:rPr>
        <w:t xml:space="preserve"> noch den Umgang mit Experimenten erlernen kann dieses Arbeitsblatt die Protokollierung erleichtern. Innerhalb der Unterrichtssequenz kann der Versuch als kumulative Einheit nach dem Teilchenmodell und der Diffusion stehen. Beide Konzepte werden hier erneut aufgegriffen und können je nach Fragestellung unterschiedliche G</w:t>
      </w:r>
      <w:r w:rsidRPr="00A940CA">
        <w:rPr>
          <w:color w:val="auto"/>
        </w:rPr>
        <w:t>e</w:t>
      </w:r>
      <w:r w:rsidRPr="00A940CA">
        <w:rPr>
          <w:color w:val="auto"/>
        </w:rPr>
        <w:t>wichtungen erfahren.</w:t>
      </w:r>
    </w:p>
    <w:p w:rsidR="007E598A" w:rsidRPr="00A940CA" w:rsidRDefault="007E598A" w:rsidP="007E598A">
      <w:pPr>
        <w:pStyle w:val="berschrift2"/>
        <w:rPr>
          <w:color w:val="auto"/>
        </w:rPr>
      </w:pPr>
      <w:bookmarkStart w:id="2" w:name="_Toc395717736"/>
      <w:r w:rsidRPr="00A940CA">
        <w:rPr>
          <w:color w:val="auto"/>
        </w:rPr>
        <w:t>Erwartungshorizont (Kerncurriculum)</w:t>
      </w:r>
      <w:bookmarkEnd w:id="2"/>
    </w:p>
    <w:p w:rsidR="007E598A" w:rsidRPr="00A940CA" w:rsidRDefault="007E598A" w:rsidP="007E598A">
      <w:pPr>
        <w:tabs>
          <w:tab w:val="left" w:pos="0"/>
        </w:tabs>
        <w:rPr>
          <w:color w:val="auto"/>
        </w:rPr>
      </w:pPr>
      <w:r w:rsidRPr="00A940CA">
        <w:rPr>
          <w:color w:val="auto"/>
        </w:rPr>
        <w:t>Diese Unterrichtseinheit ist im Kerncurriculum in das Basiskonzept Stoff-Teilchen verortet. Innerhalb dieses Basiskonzeptes werden unterschiedliche Teilkompetenzen angesprochen. Vo</w:t>
      </w:r>
      <w:r w:rsidRPr="00A940CA">
        <w:rPr>
          <w:color w:val="auto"/>
        </w:rPr>
        <w:t>r</w:t>
      </w:r>
      <w:r w:rsidRPr="00A940CA">
        <w:rPr>
          <w:color w:val="auto"/>
        </w:rPr>
        <w:t xml:space="preserve">nehmlich wird hier der Bereich der Kommunikation und der Bewertung im Mittelpunkt stehen. Es wird beispielsweise die Modellkompetenz der </w:t>
      </w:r>
      <w:proofErr w:type="spellStart"/>
      <w:r w:rsidRPr="00A940CA">
        <w:rPr>
          <w:color w:val="auto"/>
        </w:rPr>
        <w:t>SuS</w:t>
      </w:r>
      <w:proofErr w:type="spellEnd"/>
      <w:r w:rsidRPr="00A940CA">
        <w:rPr>
          <w:color w:val="auto"/>
        </w:rPr>
        <w:t xml:space="preserve"> geschult. Sie können die Haushaltsfolie als eine modellhafte Membran verstehen. Gleichzeitig ist es möglich, die Grenzen des Modells zu besprechen („</w:t>
      </w:r>
      <w:proofErr w:type="spellStart"/>
      <w:r w:rsidRPr="00A940CA">
        <w:rPr>
          <w:color w:val="auto"/>
        </w:rPr>
        <w:t>SuS</w:t>
      </w:r>
      <w:proofErr w:type="spellEnd"/>
      <w:r w:rsidRPr="00A940CA">
        <w:rPr>
          <w:color w:val="auto"/>
        </w:rPr>
        <w:t xml:space="preserve"> gehen kritisch mit Modellen um“), je nach Tiefe des Stoffes. Wenn aktive Transporte aus der Biologie bekannt sind, so kann das Fehlen dieser Fähigkeit im Modell them</w:t>
      </w:r>
      <w:r w:rsidRPr="00A940CA">
        <w:rPr>
          <w:color w:val="auto"/>
        </w:rPr>
        <w:t>a</w:t>
      </w:r>
      <w:r w:rsidRPr="00A940CA">
        <w:rPr>
          <w:color w:val="auto"/>
        </w:rPr>
        <w:t>tisiert werden. Zusätzlich können anhand dieses Versuches Bezüge zur Biologie und Physik he</w:t>
      </w:r>
      <w:r w:rsidRPr="00A940CA">
        <w:rPr>
          <w:color w:val="auto"/>
        </w:rPr>
        <w:t>r</w:t>
      </w:r>
      <w:r w:rsidRPr="00A940CA">
        <w:rPr>
          <w:color w:val="auto"/>
        </w:rPr>
        <w:t>gestellt werden.</w:t>
      </w:r>
    </w:p>
    <w:p w:rsidR="007E598A" w:rsidRPr="00A940CA" w:rsidRDefault="007E598A" w:rsidP="007E598A">
      <w:pPr>
        <w:pStyle w:val="berschrift2"/>
        <w:rPr>
          <w:color w:val="auto"/>
        </w:rPr>
      </w:pPr>
      <w:bookmarkStart w:id="3" w:name="_Toc395717737"/>
      <w:r w:rsidRPr="00A940CA">
        <w:rPr>
          <w:color w:val="auto"/>
        </w:rPr>
        <w:t>Erwartungshorizont (Inhaltlich)</w:t>
      </w:r>
      <w:bookmarkEnd w:id="3"/>
    </w:p>
    <w:p w:rsidR="007E598A" w:rsidRPr="00A940CA" w:rsidRDefault="007E598A" w:rsidP="007E598A">
      <w:pPr>
        <w:rPr>
          <w:color w:val="auto"/>
        </w:rPr>
      </w:pPr>
      <w:r w:rsidRPr="00A940CA">
        <w:rPr>
          <w:color w:val="auto"/>
        </w:rPr>
        <w:t>Zur Aufgabe 1.) ist eine knappe, aber detaillierte Beschreibung des Versuches gefordert. In zwei Bechergläsern wird demineralisiertes Wasser vorgelegt. In den Reagenzgläsern wird jeweils Kaliumpermanganat- bzw. Iod-Stärke-Lösung vorgelegt. Diese Reagenzgläser werden mit einer Haushaltsfolie und einem Gummiband verschlossen und kopfüber in die Bechergläser gehängt.</w:t>
      </w:r>
    </w:p>
    <w:p w:rsidR="007E598A" w:rsidRPr="00A940CA" w:rsidRDefault="007E598A" w:rsidP="007E598A">
      <w:pPr>
        <w:rPr>
          <w:color w:val="auto"/>
        </w:rPr>
      </w:pPr>
      <w:r w:rsidRPr="00A940CA">
        <w:rPr>
          <w:color w:val="auto"/>
        </w:rPr>
        <w:t xml:space="preserve">Zur Aufgabe 2.) ist eine Anwendung des Diffusionsbegriffes gefordert. Die </w:t>
      </w:r>
      <w:proofErr w:type="spellStart"/>
      <w:r w:rsidRPr="00A940CA">
        <w:rPr>
          <w:color w:val="auto"/>
        </w:rPr>
        <w:t>SuS</w:t>
      </w:r>
      <w:proofErr w:type="spellEnd"/>
      <w:r w:rsidRPr="00A940CA">
        <w:rPr>
          <w:color w:val="auto"/>
        </w:rPr>
        <w:t xml:space="preserve"> erklären den Vo</w:t>
      </w:r>
      <w:r w:rsidRPr="00A940CA">
        <w:rPr>
          <w:color w:val="auto"/>
        </w:rPr>
        <w:t>r</w:t>
      </w:r>
      <w:r w:rsidRPr="00A940CA">
        <w:rPr>
          <w:color w:val="auto"/>
        </w:rPr>
        <w:t>gang als freie Diffusion über die Membran hinweg.</w:t>
      </w:r>
    </w:p>
    <w:p w:rsidR="007E598A" w:rsidRPr="00A940CA" w:rsidRDefault="007E598A" w:rsidP="007E598A">
      <w:pPr>
        <w:rPr>
          <w:color w:val="auto"/>
        </w:rPr>
      </w:pPr>
      <w:r w:rsidRPr="00A940CA">
        <w:rPr>
          <w:color w:val="auto"/>
        </w:rPr>
        <w:t xml:space="preserve">Zur Aufgabe 3.) ist eine Verknüpfung der Konzepte des Teilchenmodells und der Diffusion gefordert. Gleichzeit schließen die </w:t>
      </w:r>
      <w:proofErr w:type="spellStart"/>
      <w:r w:rsidRPr="00A940CA">
        <w:rPr>
          <w:color w:val="auto"/>
        </w:rPr>
        <w:t>SuS</w:t>
      </w:r>
      <w:proofErr w:type="spellEnd"/>
      <w:r w:rsidRPr="00A940CA">
        <w:rPr>
          <w:color w:val="auto"/>
        </w:rPr>
        <w:t xml:space="preserve"> aus dem Versuchsergebnis, dass Teilchen eine unterschie</w:t>
      </w:r>
      <w:r w:rsidRPr="00A940CA">
        <w:rPr>
          <w:color w:val="auto"/>
        </w:rPr>
        <w:t>d</w:t>
      </w:r>
      <w:r w:rsidRPr="00A940CA">
        <w:rPr>
          <w:color w:val="auto"/>
        </w:rPr>
        <w:t>liche Größe und Form besitzen können. Sie erweitern damit ihr Verständnis des Kugelmodells.</w:t>
      </w:r>
    </w:p>
    <w:p w:rsidR="007E598A" w:rsidRPr="00A940CA" w:rsidRDefault="007E598A" w:rsidP="007E598A">
      <w:pPr>
        <w:rPr>
          <w:color w:val="auto"/>
        </w:rPr>
      </w:pPr>
    </w:p>
    <w:p w:rsidR="00DD5970" w:rsidRDefault="007E598A"/>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226ADA" w:rsidRPr="00337B69" w:rsidRDefault="007E598A"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8A"/>
    <w:rsid w:val="007E598A"/>
    <w:rsid w:val="0080710C"/>
    <w:rsid w:val="0085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598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E598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E598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E598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E59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E598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E59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E59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E59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E59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598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E598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E598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E598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E598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E598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E598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E598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E598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7E59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98A"/>
    <w:rPr>
      <w:rFonts w:ascii="Cambria" w:hAnsi="Cambria"/>
      <w:color w:val="1D1B11" w:themeColor="background2" w:themeShade="1A"/>
    </w:rPr>
  </w:style>
  <w:style w:type="table" w:styleId="Tabellenraster">
    <w:name w:val="Table Grid"/>
    <w:basedOn w:val="NormaleTabelle"/>
    <w:uiPriority w:val="59"/>
    <w:rsid w:val="007E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598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E598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E598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E598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E59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E598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E59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E59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E59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E59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598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E598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E598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E598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E598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E598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E598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E598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E598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7E59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98A"/>
    <w:rPr>
      <w:rFonts w:ascii="Cambria" w:hAnsi="Cambria"/>
      <w:color w:val="1D1B11" w:themeColor="background2" w:themeShade="1A"/>
    </w:rPr>
  </w:style>
  <w:style w:type="table" w:styleId="Tabellenraster">
    <w:name w:val="Table Grid"/>
    <w:basedOn w:val="NormaleTabelle"/>
    <w:uiPriority w:val="59"/>
    <w:rsid w:val="007E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3398</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2014-08-26T14:33:00Z</dcterms:created>
  <dcterms:modified xsi:type="dcterms:W3CDTF">2014-08-26T14:34:00Z</dcterms:modified>
</cp:coreProperties>
</file>