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5D" w:rsidRPr="00A11E8D" w:rsidRDefault="00D57F5D" w:rsidP="00D57F5D">
      <w:pPr>
        <w:pStyle w:val="berschrift1"/>
        <w:numPr>
          <w:ilvl w:val="0"/>
          <w:numId w:val="0"/>
        </w:numPr>
      </w:pPr>
      <w:bookmarkStart w:id="0" w:name="_Toc396152612"/>
      <w:r w:rsidRPr="00A11E8D">
        <w:t>V</w:t>
      </w:r>
      <w:r>
        <w:t xml:space="preserve"> </w:t>
      </w:r>
      <w:r w:rsidRPr="00A11E8D">
        <w:t xml:space="preserve">2 </w:t>
      </w:r>
      <w:r>
        <w:t>–</w:t>
      </w:r>
      <w:r w:rsidRPr="00A11E8D">
        <w:t xml:space="preserve"> </w:t>
      </w:r>
      <w:r>
        <w:t>Schwefeldioxid in der Umwelt</w:t>
      </w:r>
      <w:bookmarkEnd w:id="0"/>
      <w:r>
        <w:t xml:space="preserve"> </w:t>
      </w:r>
    </w:p>
    <w:p w:rsidR="00D57F5D" w:rsidRDefault="00D57F5D" w:rsidP="00D57F5D">
      <w:pPr>
        <w:pStyle w:val="berschrift2"/>
        <w:numPr>
          <w:ilvl w:val="0"/>
          <w:numId w:val="0"/>
        </w:numPr>
        <w:ind w:left="576"/>
      </w:pPr>
      <w:r>
        <w:rPr>
          <w:noProof/>
        </w:rPr>
        <w:pict>
          <v:shapetype id="_x0000_t202" coordsize="21600,21600" o:spt="202" path="m,l,21600r21600,l21600,xe">
            <v:stroke joinstyle="miter"/>
            <v:path gradientshapeok="t" o:connecttype="rect"/>
          </v:shapetype>
          <v:shape id="_x0000_s1037" type="#_x0000_t202" style="position:absolute;left:0;text-align:left;margin-left:-.05pt;margin-top:5.7pt;width:462.45pt;height:98.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style="mso-next-textbox:#_x0000_s1037">
              <w:txbxContent>
                <w:p w:rsidR="00D57F5D" w:rsidRPr="00B03D8D" w:rsidRDefault="00D57F5D" w:rsidP="00D57F5D">
                  <w:pPr>
                    <w:rPr>
                      <w:color w:val="auto"/>
                    </w:rPr>
                  </w:pPr>
                  <w:r>
                    <w:rPr>
                      <w:color w:val="auto"/>
                    </w:rPr>
                    <w:t xml:space="preserve">In diesem Versuch können </w:t>
                  </w:r>
                  <w:proofErr w:type="spellStart"/>
                  <w:r>
                    <w:rPr>
                      <w:color w:val="auto"/>
                    </w:rPr>
                    <w:t>SuS</w:t>
                  </w:r>
                  <w:proofErr w:type="spellEnd"/>
                  <w:r>
                    <w:rPr>
                      <w:color w:val="auto"/>
                    </w:rPr>
                    <w:t xml:space="preserve"> die schädlichen Effekte von SO</w:t>
                  </w:r>
                  <w:r>
                    <w:rPr>
                      <w:color w:val="auto"/>
                      <w:vertAlign w:val="subscript"/>
                    </w:rPr>
                    <w:t>2</w:t>
                  </w:r>
                  <w:r>
                    <w:rPr>
                      <w:color w:val="auto"/>
                    </w:rPr>
                    <w:t xml:space="preserve"> auf die Umwelt sehen und die Rolle, die SO</w:t>
                  </w:r>
                  <w:r>
                    <w:rPr>
                      <w:color w:val="auto"/>
                      <w:vertAlign w:val="subscript"/>
                    </w:rPr>
                    <w:t>2</w:t>
                  </w:r>
                  <w:r>
                    <w:rPr>
                      <w:color w:val="auto"/>
                    </w:rPr>
                    <w:t xml:space="preserve"> bei saurem Regen spielt. Da das Gas beim Einatmen giftig ist und Verätzungen verursachen kann, sollte dieser Versuch als Demonstrationsversuch durchgeführt werden. Die </w:t>
                  </w:r>
                  <w:proofErr w:type="spellStart"/>
                  <w:r>
                    <w:rPr>
                      <w:color w:val="auto"/>
                    </w:rPr>
                    <w:t>SuS</w:t>
                  </w:r>
                  <w:proofErr w:type="spellEnd"/>
                  <w:r>
                    <w:rPr>
                      <w:color w:val="auto"/>
                    </w:rPr>
                    <w:t xml:space="preserve"> sollten wissen, dass SO</w:t>
                  </w:r>
                  <w:r>
                    <w:rPr>
                      <w:color w:val="auto"/>
                      <w:vertAlign w:val="subscript"/>
                    </w:rPr>
                    <w:t xml:space="preserve">2 </w:t>
                  </w:r>
                  <w:r>
                    <w:rPr>
                      <w:color w:val="auto"/>
                    </w:rPr>
                    <w:t xml:space="preserve">ein Bestandteil von Smog ist. Für den Versuch wird Schwefel, Marmor und Rosen benötigt.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57F5D" w:rsidRPr="00CD03BD" w:rsidTr="00C33915">
        <w:tc>
          <w:tcPr>
            <w:tcW w:w="9322" w:type="dxa"/>
            <w:gridSpan w:val="9"/>
            <w:tcBorders>
              <w:top w:val="single" w:sz="8" w:space="0" w:color="4F81BD"/>
            </w:tcBorders>
            <w:shd w:val="clear" w:color="auto" w:fill="4F81BD"/>
            <w:vAlign w:val="center"/>
          </w:tcPr>
          <w:p w:rsidR="00D57F5D" w:rsidRPr="00CD03BD" w:rsidRDefault="00D57F5D" w:rsidP="00C33915">
            <w:pPr>
              <w:spacing w:after="0"/>
              <w:jc w:val="center"/>
              <w:rPr>
                <w:b/>
                <w:bCs/>
              </w:rPr>
            </w:pPr>
            <w:r w:rsidRPr="00CD03BD">
              <w:rPr>
                <w:b/>
                <w:bCs/>
              </w:rPr>
              <w:t>Gefahrenstoffe</w:t>
            </w:r>
          </w:p>
        </w:tc>
      </w:tr>
      <w:tr w:rsidR="00D57F5D" w:rsidRPr="00CD03BD"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57F5D" w:rsidRPr="00CD03BD" w:rsidRDefault="00D57F5D" w:rsidP="00C33915">
            <w:pPr>
              <w:spacing w:after="0" w:line="276" w:lineRule="auto"/>
              <w:jc w:val="center"/>
              <w:rPr>
                <w:b/>
                <w:bCs/>
              </w:rPr>
            </w:pPr>
            <w:r>
              <w:rPr>
                <w:sz w:val="20"/>
              </w:rPr>
              <w:t>Schwefeldioxid</w:t>
            </w:r>
          </w:p>
        </w:tc>
        <w:tc>
          <w:tcPr>
            <w:tcW w:w="3177" w:type="dxa"/>
            <w:gridSpan w:val="3"/>
            <w:tcBorders>
              <w:top w:val="single" w:sz="8" w:space="0" w:color="4F81BD"/>
              <w:bottom w:val="single" w:sz="8" w:space="0" w:color="4F81BD"/>
            </w:tcBorders>
            <w:shd w:val="clear" w:color="auto" w:fill="auto"/>
            <w:vAlign w:val="center"/>
          </w:tcPr>
          <w:p w:rsidR="00D57F5D" w:rsidRPr="00CD03BD" w:rsidRDefault="00D57F5D" w:rsidP="00C33915">
            <w:pPr>
              <w:spacing w:after="0"/>
              <w:jc w:val="center"/>
            </w:pPr>
            <w:r w:rsidRPr="00CD03BD">
              <w:rPr>
                <w:sz w:val="20"/>
              </w:rPr>
              <w:t xml:space="preserve">H: </w:t>
            </w:r>
            <w:hyperlink r:id="rId7" w:anchor="H-S.C3.A4tze" w:tooltip="H- und P-Sätze" w:history="1">
              <w:r w:rsidRPr="00CD03BD">
                <w:rPr>
                  <w:rStyle w:val="Hyperlink"/>
                  <w:color w:val="auto"/>
                </w:rPr>
                <w:t>33</w:t>
              </w:r>
              <w:r>
                <w:rPr>
                  <w:rStyle w:val="Hyperlink"/>
                  <w:color w:val="auto"/>
                </w:rPr>
                <w:t>1</w:t>
              </w:r>
            </w:hyperlink>
            <w:r>
              <w:rPr>
                <w:sz w:val="20"/>
              </w:rPr>
              <w:t>+</w:t>
            </w:r>
            <w:hyperlink r:id="rId8" w:anchor="H-S.C3.A4tze" w:tooltip="H- und P-Sätze" w:history="1">
              <w:r w:rsidRPr="00CD03BD">
                <w:rPr>
                  <w:rStyle w:val="Hyperlink"/>
                  <w:color w:val="auto"/>
                </w:rPr>
                <w:t>3</w:t>
              </w:r>
              <w:r>
                <w:rPr>
                  <w:rStyle w:val="Hyperlink"/>
                  <w:color w:val="auto"/>
                </w:rPr>
                <w:t>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57F5D" w:rsidRPr="00CD03BD" w:rsidRDefault="00D57F5D" w:rsidP="00C33915">
            <w:pPr>
              <w:spacing w:after="0" w:line="240" w:lineRule="auto"/>
              <w:jc w:val="center"/>
            </w:pPr>
            <w:r w:rsidRPr="00CD03BD">
              <w:rPr>
                <w:sz w:val="20"/>
              </w:rPr>
              <w:t xml:space="preserve">P: </w:t>
            </w:r>
            <w:r>
              <w:rPr>
                <w:sz w:val="20"/>
              </w:rPr>
              <w:t>260-</w:t>
            </w:r>
            <w:hyperlink r:id="rId9" w:anchor="P-S.C3.A4tze" w:tooltip="H- und P-Sätze" w:history="1">
              <w:r w:rsidRPr="00CD03BD">
                <w:rPr>
                  <w:rStyle w:val="Hyperlink"/>
                  <w:color w:val="auto"/>
                </w:rPr>
                <w:t>280</w:t>
              </w:r>
            </w:hyperlink>
            <w:r>
              <w:rPr>
                <w:sz w:val="20"/>
              </w:rPr>
              <w:t>-</w:t>
            </w:r>
            <w:r w:rsidRPr="00CD03BD">
              <w:rPr>
                <w:sz w:val="20"/>
              </w:rPr>
              <w:t>​</w:t>
            </w:r>
            <w:hyperlink r:id="rId10" w:anchor="P-S.C3.A4tze" w:tooltip="H- und P-Sätze" w:history="1">
              <w:r w:rsidRPr="00CD03BD">
                <w:rPr>
                  <w:rStyle w:val="Hyperlink"/>
                  <w:color w:val="auto"/>
                </w:rPr>
                <w:t>30</w:t>
              </w:r>
              <w:r>
                <w:rPr>
                  <w:rStyle w:val="Hyperlink"/>
                  <w:color w:val="auto"/>
                </w:rPr>
                <w:t>4</w:t>
              </w:r>
              <w:r w:rsidRPr="00CD03BD">
                <w:rPr>
                  <w:rStyle w:val="Hyperlink"/>
                  <w:color w:val="auto"/>
                </w:rPr>
                <w:t>+3</w:t>
              </w:r>
              <w:r>
                <w:rPr>
                  <w:rStyle w:val="Hyperlink"/>
                  <w:color w:val="auto"/>
                </w:rPr>
                <w:t>4</w:t>
              </w:r>
              <w:r w:rsidRPr="00CD03BD">
                <w:rPr>
                  <w:rStyle w:val="Hyperlink"/>
                  <w:color w:val="auto"/>
                </w:rPr>
                <w:t>0</w:t>
              </w:r>
              <w:r>
                <w:rPr>
                  <w:rStyle w:val="Hyperlink"/>
                  <w:color w:val="auto"/>
                </w:rPr>
                <w:t>-</w:t>
              </w:r>
              <w:r w:rsidRPr="00CD03BD">
                <w:rPr>
                  <w:rStyle w:val="Hyperlink"/>
                  <w:color w:val="auto"/>
                </w:rPr>
                <w:t>3</w:t>
              </w:r>
              <w:r>
                <w:rPr>
                  <w:rStyle w:val="Hyperlink"/>
                  <w:color w:val="auto"/>
                </w:rPr>
                <w:t>03+361+353-305+351+338-315-405-403</w:t>
              </w:r>
            </w:hyperlink>
          </w:p>
        </w:tc>
      </w:tr>
      <w:tr w:rsidR="00D57F5D" w:rsidRPr="00CD03BD" w:rsidTr="00C33915">
        <w:tc>
          <w:tcPr>
            <w:tcW w:w="1009" w:type="dxa"/>
            <w:tcBorders>
              <w:top w:val="single" w:sz="4" w:space="0" w:color="auto"/>
              <w:left w:val="single" w:sz="8" w:space="0" w:color="4F81BD"/>
              <w:bottom w:val="single" w:sz="8" w:space="0" w:color="4F81BD"/>
            </w:tcBorders>
            <w:shd w:val="clear" w:color="auto" w:fill="auto"/>
            <w:vAlign w:val="center"/>
          </w:tcPr>
          <w:p w:rsidR="00D57F5D" w:rsidRPr="00CD03BD" w:rsidRDefault="00D57F5D" w:rsidP="00C33915">
            <w:pPr>
              <w:spacing w:after="0"/>
              <w:jc w:val="center"/>
              <w:rPr>
                <w:b/>
                <w:bCs/>
              </w:rPr>
            </w:pPr>
            <w:r>
              <w:rPr>
                <w:b/>
                <w:noProof/>
                <w:lang w:eastAsia="de-DE"/>
              </w:rPr>
              <w:drawing>
                <wp:inline distT="0" distB="0" distL="0" distR="0">
                  <wp:extent cx="501015" cy="501015"/>
                  <wp:effectExtent l="19050" t="0" r="0" b="0"/>
                  <wp:docPr id="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1"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009" w:type="dxa"/>
            <w:tcBorders>
              <w:top w:val="single" w:sz="4" w:space="0" w:color="auto"/>
              <w:bottom w:val="single" w:sz="8" w:space="0" w:color="4F81BD"/>
            </w:tcBorders>
            <w:shd w:val="clear" w:color="auto" w:fill="auto"/>
            <w:vAlign w:val="center"/>
          </w:tcPr>
          <w:p w:rsidR="00D57F5D" w:rsidRPr="00CD03BD" w:rsidRDefault="00D57F5D" w:rsidP="00C33915">
            <w:pPr>
              <w:spacing w:after="0"/>
              <w:jc w:val="center"/>
            </w:pPr>
            <w:r>
              <w:rPr>
                <w:noProof/>
                <w:lang w:eastAsia="de-DE"/>
              </w:rPr>
              <w:drawing>
                <wp:inline distT="0" distB="0" distL="0" distR="0">
                  <wp:extent cx="501015" cy="501015"/>
                  <wp:effectExtent l="19050" t="0" r="0" b="0"/>
                  <wp:docPr id="18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2"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009" w:type="dxa"/>
            <w:tcBorders>
              <w:top w:val="single" w:sz="4" w:space="0" w:color="auto"/>
              <w:bottom w:val="single" w:sz="8" w:space="0" w:color="4F81BD"/>
            </w:tcBorders>
            <w:shd w:val="clear" w:color="auto" w:fill="auto"/>
            <w:vAlign w:val="center"/>
          </w:tcPr>
          <w:p w:rsidR="00D57F5D" w:rsidRPr="00CD03BD" w:rsidRDefault="00D57F5D" w:rsidP="00C33915">
            <w:pPr>
              <w:spacing w:after="0"/>
              <w:jc w:val="center"/>
            </w:pPr>
            <w:r>
              <w:rPr>
                <w:noProof/>
                <w:lang w:eastAsia="de-DE"/>
              </w:rPr>
              <w:drawing>
                <wp:inline distT="0" distB="0" distL="0" distR="0">
                  <wp:extent cx="501015" cy="501015"/>
                  <wp:effectExtent l="19050" t="0" r="0" b="0"/>
                  <wp:docPr id="1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3"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009" w:type="dxa"/>
            <w:tcBorders>
              <w:top w:val="single" w:sz="4" w:space="0" w:color="auto"/>
              <w:bottom w:val="single" w:sz="8" w:space="0" w:color="4F81BD"/>
            </w:tcBorders>
            <w:shd w:val="clear" w:color="auto" w:fill="auto"/>
            <w:vAlign w:val="center"/>
          </w:tcPr>
          <w:p w:rsidR="00D57F5D" w:rsidRPr="00CD03BD" w:rsidRDefault="00D57F5D" w:rsidP="00C33915">
            <w:pPr>
              <w:spacing w:after="0"/>
              <w:jc w:val="center"/>
            </w:pPr>
            <w:r>
              <w:rPr>
                <w:noProof/>
                <w:lang w:eastAsia="de-DE"/>
              </w:rPr>
              <w:drawing>
                <wp:inline distT="0" distB="0" distL="0" distR="0">
                  <wp:extent cx="501015" cy="501015"/>
                  <wp:effectExtent l="19050" t="0" r="0" b="0"/>
                  <wp:docPr id="17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4"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175" w:type="dxa"/>
            <w:tcBorders>
              <w:top w:val="single" w:sz="4" w:space="0" w:color="auto"/>
              <w:bottom w:val="single" w:sz="8" w:space="0" w:color="4F81BD"/>
            </w:tcBorders>
            <w:shd w:val="clear" w:color="auto" w:fill="auto"/>
            <w:vAlign w:val="center"/>
          </w:tcPr>
          <w:p w:rsidR="00D57F5D" w:rsidRPr="00CD03BD" w:rsidRDefault="00D57F5D" w:rsidP="00C33915">
            <w:pPr>
              <w:spacing w:after="0"/>
              <w:jc w:val="center"/>
            </w:pPr>
            <w:r>
              <w:rPr>
                <w:noProof/>
                <w:lang w:eastAsia="de-DE"/>
              </w:rPr>
              <w:drawing>
                <wp:inline distT="0" distB="0" distL="0" distR="0">
                  <wp:extent cx="501015" cy="501015"/>
                  <wp:effectExtent l="19050" t="0" r="0" b="0"/>
                  <wp:docPr id="18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5"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993" w:type="dxa"/>
            <w:tcBorders>
              <w:top w:val="single" w:sz="4" w:space="0" w:color="auto"/>
              <w:bottom w:val="single" w:sz="8" w:space="0" w:color="4F81BD"/>
            </w:tcBorders>
            <w:shd w:val="clear" w:color="auto" w:fill="auto"/>
            <w:vAlign w:val="center"/>
          </w:tcPr>
          <w:p w:rsidR="00D57F5D" w:rsidRPr="00CD03BD" w:rsidRDefault="00D57F5D" w:rsidP="00C33915">
            <w:pPr>
              <w:spacing w:after="0"/>
              <w:jc w:val="center"/>
            </w:pPr>
            <w:r>
              <w:rPr>
                <w:noProof/>
                <w:lang w:eastAsia="de-DE"/>
              </w:rPr>
              <w:drawing>
                <wp:inline distT="0" distB="0" distL="0" distR="0">
                  <wp:extent cx="501015" cy="501015"/>
                  <wp:effectExtent l="19050" t="0" r="0" b="0"/>
                  <wp:docPr id="2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6"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975" w:type="dxa"/>
            <w:tcBorders>
              <w:top w:val="single" w:sz="4" w:space="0" w:color="auto"/>
              <w:bottom w:val="single" w:sz="8" w:space="0" w:color="4F81BD"/>
            </w:tcBorders>
            <w:shd w:val="clear" w:color="auto" w:fill="auto"/>
            <w:vAlign w:val="center"/>
          </w:tcPr>
          <w:p w:rsidR="00D57F5D" w:rsidRPr="00CD03BD" w:rsidRDefault="00D57F5D" w:rsidP="00C33915">
            <w:pPr>
              <w:spacing w:after="0"/>
              <w:jc w:val="center"/>
            </w:pPr>
            <w:r>
              <w:rPr>
                <w:noProof/>
                <w:lang w:eastAsia="de-DE"/>
              </w:rPr>
              <w:drawing>
                <wp:inline distT="0" distB="0" distL="0" distR="0">
                  <wp:extent cx="481965" cy="481965"/>
                  <wp:effectExtent l="19050" t="0" r="0" b="0"/>
                  <wp:docPr id="23" name="Grafik 21"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7" cstate="print"/>
                          <a:stretch>
                            <a:fillRect/>
                          </a:stretch>
                        </pic:blipFill>
                        <pic:spPr>
                          <a:xfrm>
                            <a:off x="0" y="0"/>
                            <a:ext cx="481965" cy="481965"/>
                          </a:xfrm>
                          <a:prstGeom prst="rect">
                            <a:avLst/>
                          </a:prstGeom>
                        </pic:spPr>
                      </pic:pic>
                    </a:graphicData>
                  </a:graphic>
                </wp:inline>
              </w:drawing>
            </w:r>
          </w:p>
        </w:tc>
        <w:tc>
          <w:tcPr>
            <w:tcW w:w="1009" w:type="dxa"/>
            <w:tcBorders>
              <w:top w:val="single" w:sz="4" w:space="0" w:color="auto"/>
              <w:bottom w:val="single" w:sz="8" w:space="0" w:color="4F81BD"/>
            </w:tcBorders>
            <w:shd w:val="clear" w:color="auto" w:fill="auto"/>
            <w:vAlign w:val="center"/>
          </w:tcPr>
          <w:p w:rsidR="00D57F5D" w:rsidRPr="00CD03BD" w:rsidRDefault="00D57F5D" w:rsidP="00C33915">
            <w:pPr>
              <w:spacing w:after="0"/>
              <w:jc w:val="center"/>
            </w:pPr>
            <w:r>
              <w:rPr>
                <w:noProof/>
                <w:lang w:eastAsia="de-DE"/>
              </w:rPr>
              <w:drawing>
                <wp:inline distT="0" distB="0" distL="0" distR="0">
                  <wp:extent cx="503555" cy="503555"/>
                  <wp:effectExtent l="19050" t="0" r="0" b="0"/>
                  <wp:docPr id="24" name="Grafik 22" descr="Reizen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 (2).png"/>
                          <pic:cNvPicPr/>
                        </pic:nvPicPr>
                        <pic:blipFill>
                          <a:blip r:embed="rId18" cstate="print"/>
                          <a:stretch>
                            <a:fillRect/>
                          </a:stretch>
                        </pic:blipFill>
                        <pic:spPr>
                          <a:xfrm>
                            <a:off x="0" y="0"/>
                            <a:ext cx="503555" cy="503555"/>
                          </a:xfrm>
                          <a:prstGeom prst="rect">
                            <a:avLst/>
                          </a:prstGeom>
                        </pic:spPr>
                      </pic:pic>
                    </a:graphicData>
                  </a:graphic>
                </wp:inline>
              </w:drawing>
            </w:r>
          </w:p>
        </w:tc>
        <w:tc>
          <w:tcPr>
            <w:tcW w:w="1134" w:type="dxa"/>
            <w:tcBorders>
              <w:top w:val="single" w:sz="4" w:space="0" w:color="auto"/>
              <w:bottom w:val="single" w:sz="8" w:space="0" w:color="4F81BD"/>
              <w:right w:val="single" w:sz="8" w:space="0" w:color="4F81BD"/>
            </w:tcBorders>
            <w:shd w:val="clear" w:color="auto" w:fill="auto"/>
            <w:vAlign w:val="center"/>
          </w:tcPr>
          <w:p w:rsidR="00D57F5D" w:rsidRPr="00CD03BD" w:rsidRDefault="00D57F5D" w:rsidP="00C33915">
            <w:pPr>
              <w:spacing w:after="0"/>
              <w:jc w:val="center"/>
            </w:pPr>
            <w:r>
              <w:rPr>
                <w:noProof/>
                <w:lang w:eastAsia="de-DE"/>
              </w:rPr>
              <w:drawing>
                <wp:inline distT="0" distB="0" distL="0" distR="0">
                  <wp:extent cx="501015" cy="501015"/>
                  <wp:effectExtent l="19050" t="0" r="0" b="0"/>
                  <wp:docPr id="18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9"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r>
    </w:tbl>
    <w:p w:rsidR="00D57F5D" w:rsidRPr="007F122F" w:rsidRDefault="00D57F5D" w:rsidP="00D57F5D">
      <w:pPr>
        <w:pStyle w:val="berschrift2"/>
        <w:numPr>
          <w:ilvl w:val="0"/>
          <w:numId w:val="0"/>
        </w:numPr>
        <w:ind w:left="576"/>
        <w:rPr>
          <w:b w:val="0"/>
        </w:rPr>
      </w:pPr>
      <w:r>
        <w:t xml:space="preserve"> </w:t>
      </w:r>
    </w:p>
    <w:p w:rsidR="00D57F5D" w:rsidRDefault="00D57F5D" w:rsidP="00D57F5D">
      <w:pPr>
        <w:tabs>
          <w:tab w:val="left" w:pos="1701"/>
          <w:tab w:val="left" w:pos="1985"/>
        </w:tabs>
        <w:ind w:left="1980" w:hanging="1980"/>
      </w:pPr>
      <w:r>
        <w:t xml:space="preserve">Materialien: </w:t>
      </w:r>
      <w:r>
        <w:tab/>
      </w:r>
      <w:r>
        <w:tab/>
        <w:t>3 Standzylinder, 3 Verbrennungslöffel, 3 Deckgläser, Bunsenbrenner, Spritzflasche, Universalindikatorpapier</w:t>
      </w:r>
    </w:p>
    <w:p w:rsidR="00D57F5D" w:rsidRPr="00ED07C2" w:rsidRDefault="00D57F5D" w:rsidP="00D57F5D">
      <w:pPr>
        <w:tabs>
          <w:tab w:val="left" w:pos="1701"/>
          <w:tab w:val="left" w:pos="1985"/>
        </w:tabs>
        <w:ind w:left="1980" w:hanging="1980"/>
      </w:pPr>
      <w:r>
        <w:t>Chemikalien:</w:t>
      </w:r>
      <w:r>
        <w:tab/>
      </w:r>
      <w:r>
        <w:tab/>
        <w:t>Schwefel, Rosen, Marmor, Wasser</w:t>
      </w:r>
    </w:p>
    <w:p w:rsidR="00D57F5D" w:rsidRDefault="00D57F5D" w:rsidP="00D57F5D">
      <w:pPr>
        <w:tabs>
          <w:tab w:val="left" w:pos="1701"/>
          <w:tab w:val="left" w:pos="1985"/>
        </w:tabs>
        <w:ind w:left="1980" w:hanging="1980"/>
      </w:pPr>
      <w:r>
        <w:t xml:space="preserve">Durchführung: </w:t>
      </w:r>
      <w:r>
        <w:tab/>
      </w:r>
      <w:r>
        <w:tab/>
        <w:t>Schwefel wird auf einen Verbrennungslöffel gegeben und mit der ra</w:t>
      </w:r>
      <w:r>
        <w:t>u</w:t>
      </w:r>
      <w:r>
        <w:t>schenden Brennerflamme unter dem Abzug entzündet und in den Standz</w:t>
      </w:r>
      <w:r>
        <w:t>y</w:t>
      </w:r>
      <w:r>
        <w:t>linder gehoben. Der Zylinder wird danach mit einem Deckglas abgedeckt. Der Vorgang wird für alle drei Standzylinder wiederholt.  In den ersten Standzylinder wird eine Rose gegeben. In den zweiten Standzylinder wird mit der Spritzflasche Wasser in den Standzylinder gegeben und danach ein Streifen Universalindikatorpapier. In den dritten Standzylinder wird Wa</w:t>
      </w:r>
      <w:r>
        <w:t>s</w:t>
      </w:r>
      <w:r>
        <w:t>ser gegeben und ein Stück Marmor. Alle drei Standzylinder werden nach Zugabe der Objekte wieder mit dem Deckglas abgedeckt. Die Beobachtu</w:t>
      </w:r>
      <w:r>
        <w:t>n</w:t>
      </w:r>
      <w:r>
        <w:t xml:space="preserve">gen von Standzylinder 1 und 2 werden nach fünf  Minuten protokolliert. Die Beobachtungen von Standzylinder 3 nach 2 Tagen. </w:t>
      </w:r>
    </w:p>
    <w:p w:rsidR="00D57F5D" w:rsidRDefault="00D57F5D" w:rsidP="00D57F5D">
      <w:pPr>
        <w:tabs>
          <w:tab w:val="left" w:pos="1701"/>
          <w:tab w:val="left" w:pos="1985"/>
        </w:tabs>
      </w:pPr>
      <w:r>
        <w:t xml:space="preserve"> </w:t>
      </w:r>
    </w:p>
    <w:tbl>
      <w:tblPr>
        <w:tblStyle w:val="Tabellengitternetz"/>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6"/>
        <w:gridCol w:w="2021"/>
      </w:tblGrid>
      <w:tr w:rsidR="00D57F5D" w:rsidTr="00C33915">
        <w:tc>
          <w:tcPr>
            <w:tcW w:w="5170" w:type="dxa"/>
          </w:tcPr>
          <w:p w:rsidR="00D57F5D" w:rsidRDefault="00D57F5D" w:rsidP="00C33915">
            <w:pPr>
              <w:keepNext/>
              <w:tabs>
                <w:tab w:val="left" w:pos="1701"/>
                <w:tab w:val="left" w:pos="1985"/>
              </w:tabs>
            </w:pPr>
            <w:r>
              <w:rPr>
                <w:noProof/>
              </w:rPr>
              <w:lastRenderedPageBreak/>
              <w:drawing>
                <wp:inline distT="0" distB="0" distL="0" distR="0">
                  <wp:extent cx="3046875" cy="2775006"/>
                  <wp:effectExtent l="95250" t="95250" r="96375" b="101544"/>
                  <wp:docPr id="50" name="Bild 24" descr="D:\User\Jana\Göttingen - backup 28.07.2014\Master of Education\SVP\Protokolle\Protokoll 7&amp;8\Bilder\DSC04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User\Jana\Göttingen - backup 28.07.2014\Master of Education\SVP\Protokolle\Protokoll 7&amp;8\Bilder\DSC04044.JPG"/>
                          <pic:cNvPicPr>
                            <a:picLocks noChangeAspect="1" noChangeArrowheads="1"/>
                          </pic:cNvPicPr>
                        </pic:nvPicPr>
                        <pic:blipFill>
                          <a:blip r:embed="rId20" cstate="print"/>
                          <a:srcRect/>
                          <a:stretch>
                            <a:fillRect/>
                          </a:stretch>
                        </pic:blipFill>
                        <pic:spPr bwMode="auto">
                          <a:xfrm>
                            <a:off x="0" y="0"/>
                            <a:ext cx="3058747" cy="278581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57F5D" w:rsidRDefault="00D57F5D" w:rsidP="00C33915">
            <w:pPr>
              <w:pStyle w:val="Beschriftung"/>
              <w:jc w:val="left"/>
            </w:pPr>
            <w:r>
              <w:t xml:space="preserve">Abbildung </w:t>
            </w:r>
            <w:fldSimple w:instr=" SEQ Abbildung \* ARABIC ">
              <w:r>
                <w:rPr>
                  <w:noProof/>
                </w:rPr>
                <w:t>3</w:t>
              </w:r>
            </w:fldSimple>
            <w:r>
              <w:t xml:space="preserve">: Versuchsaufbau für den Versuch „Schwefeldioxid in der Umwelt“. </w:t>
            </w:r>
          </w:p>
          <w:p w:rsidR="00D57F5D" w:rsidRDefault="00D57F5D" w:rsidP="00C33915">
            <w:pPr>
              <w:pStyle w:val="Beschriftung"/>
            </w:pPr>
          </w:p>
        </w:tc>
        <w:tc>
          <w:tcPr>
            <w:tcW w:w="2167" w:type="dxa"/>
          </w:tcPr>
          <w:p w:rsidR="00D57F5D" w:rsidRDefault="00D57F5D" w:rsidP="00C33915">
            <w:pPr>
              <w:keepNext/>
              <w:tabs>
                <w:tab w:val="left" w:pos="1701"/>
                <w:tab w:val="left" w:pos="1985"/>
              </w:tabs>
            </w:pPr>
            <w:r w:rsidRPr="00B80D1E">
              <w:rPr>
                <w:noProof/>
              </w:rPr>
              <w:drawing>
                <wp:inline distT="0" distB="0" distL="0" distR="0">
                  <wp:extent cx="807010" cy="2775006"/>
                  <wp:effectExtent l="95250" t="95250" r="88340" b="101544"/>
                  <wp:docPr id="55" name="Bild 26" descr="D:\User\Jana\Göttingen - backup 28.07.2014\Master of Education\SVP\Protokolle\Protokoll 7&amp;8\Bilder\DSC04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User\Jana\Göttingen - backup 28.07.2014\Master of Education\SVP\Protokolle\Protokoll 7&amp;8\Bilder\DSC04049.JPG"/>
                          <pic:cNvPicPr>
                            <a:picLocks noChangeAspect="1" noChangeArrowheads="1"/>
                          </pic:cNvPicPr>
                        </pic:nvPicPr>
                        <pic:blipFill>
                          <a:blip r:embed="rId21" cstate="print"/>
                          <a:srcRect/>
                          <a:stretch>
                            <a:fillRect/>
                          </a:stretch>
                        </pic:blipFill>
                        <pic:spPr bwMode="auto">
                          <a:xfrm>
                            <a:off x="0" y="0"/>
                            <a:ext cx="807253" cy="27758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57F5D" w:rsidRDefault="00D57F5D" w:rsidP="00C33915">
            <w:pPr>
              <w:pStyle w:val="Beschriftung"/>
              <w:rPr>
                <w:noProof/>
              </w:rPr>
            </w:pPr>
            <w:r>
              <w:t xml:space="preserve">Abbildung </w:t>
            </w:r>
            <w:fldSimple w:instr=" SEQ Abbildung \* ARABIC ">
              <w:r>
                <w:rPr>
                  <w:noProof/>
                </w:rPr>
                <w:t>4</w:t>
              </w:r>
            </w:fldSimple>
            <w:r>
              <w:t>: Verbre</w:t>
            </w:r>
            <w:r>
              <w:t>n</w:t>
            </w:r>
            <w:r>
              <w:t xml:space="preserve">nung von Schwefel. </w:t>
            </w:r>
          </w:p>
        </w:tc>
      </w:tr>
    </w:tbl>
    <w:p w:rsidR="00D57F5D" w:rsidRDefault="00D57F5D" w:rsidP="00D57F5D">
      <w:pPr>
        <w:tabs>
          <w:tab w:val="left" w:pos="1701"/>
          <w:tab w:val="left" w:pos="1985"/>
        </w:tabs>
        <w:ind w:left="1980" w:hanging="1980"/>
      </w:pPr>
      <w:r>
        <w:t>Beobachtung:</w:t>
      </w:r>
      <w:r>
        <w:tab/>
      </w:r>
      <w:r>
        <w:tab/>
        <w:t xml:space="preserve">Die Rose ist weiß und komplett entfärbt. Das Universalindikatorpapier färbt sich pink. Die glatten Flächen des Marmors sind uneben geworden. </w:t>
      </w:r>
    </w:p>
    <w:tbl>
      <w:tblPr>
        <w:tblStyle w:val="Tabellengitternetz"/>
        <w:tblpPr w:leftFromText="141" w:rightFromText="141" w:vertAnchor="text" w:tblpY="1"/>
        <w:tblOverlap w:val="nev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7"/>
        <w:gridCol w:w="2182"/>
        <w:gridCol w:w="3239"/>
      </w:tblGrid>
      <w:tr w:rsidR="00D57F5D" w:rsidTr="00C33915">
        <w:tc>
          <w:tcPr>
            <w:tcW w:w="2097" w:type="dxa"/>
          </w:tcPr>
          <w:p w:rsidR="00D57F5D" w:rsidRDefault="00D57F5D" w:rsidP="00C33915">
            <w:pPr>
              <w:keepNext/>
              <w:tabs>
                <w:tab w:val="left" w:pos="1701"/>
                <w:tab w:val="left" w:pos="1985"/>
              </w:tabs>
            </w:pPr>
            <w:r>
              <w:rPr>
                <w:noProof/>
              </w:rPr>
              <w:drawing>
                <wp:inline distT="0" distB="0" distL="0" distR="0">
                  <wp:extent cx="1110036" cy="1035046"/>
                  <wp:effectExtent l="95250" t="76200" r="90114" b="69854"/>
                  <wp:docPr id="58" name="Bild 31" descr="D:\User\Jana\Göttingen - backup 28.07.2014\Master of Education\SVP\Protokolle\Protokoll 7&amp;8\Bilder\DSC00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User\Jana\Göttingen - backup 28.07.2014\Master of Education\SVP\Protokolle\Protokoll 7&amp;8\Bilder\DSC00874.JPG"/>
                          <pic:cNvPicPr>
                            <a:picLocks noChangeAspect="1" noChangeArrowheads="1"/>
                          </pic:cNvPicPr>
                        </pic:nvPicPr>
                        <pic:blipFill>
                          <a:blip r:embed="rId22" cstate="print"/>
                          <a:srcRect/>
                          <a:stretch>
                            <a:fillRect/>
                          </a:stretch>
                        </pic:blipFill>
                        <pic:spPr bwMode="auto">
                          <a:xfrm>
                            <a:off x="0" y="0"/>
                            <a:ext cx="1110036" cy="10350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57F5D" w:rsidRDefault="00D57F5D" w:rsidP="00C33915">
            <w:pPr>
              <w:pStyle w:val="Beschriftung"/>
            </w:pPr>
            <w:r>
              <w:t xml:space="preserve">Abbildung </w:t>
            </w:r>
            <w:fldSimple w:instr=" SEQ Abbildung \* ARABIC ">
              <w:r>
                <w:rPr>
                  <w:noProof/>
                </w:rPr>
                <w:t>5</w:t>
              </w:r>
            </w:fldSimple>
            <w:r>
              <w:t>: Die Rose vor dem Ve</w:t>
            </w:r>
            <w:r>
              <w:t>r</w:t>
            </w:r>
            <w:r>
              <w:t xml:space="preserve">such. </w:t>
            </w:r>
          </w:p>
        </w:tc>
        <w:tc>
          <w:tcPr>
            <w:tcW w:w="2410" w:type="dxa"/>
          </w:tcPr>
          <w:p w:rsidR="00D57F5D" w:rsidRDefault="00D57F5D" w:rsidP="00C33915">
            <w:pPr>
              <w:keepNext/>
              <w:tabs>
                <w:tab w:val="left" w:pos="1701"/>
                <w:tab w:val="left" w:pos="1985"/>
              </w:tabs>
            </w:pPr>
            <w:r>
              <w:rPr>
                <w:noProof/>
              </w:rPr>
              <w:drawing>
                <wp:inline distT="0" distB="0" distL="0" distR="0">
                  <wp:extent cx="1324720" cy="1050239"/>
                  <wp:effectExtent l="95250" t="76200" r="104030" b="73711"/>
                  <wp:docPr id="59" name="Bild 32" descr="D:\User\Jana\Göttingen - backup 28.07.2014\Master of Education\SVP\Protokolle\Protokoll 7&amp;8\Bilder\DSC00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User\Jana\Göttingen - backup 28.07.2014\Master of Education\SVP\Protokolle\Protokoll 7&amp;8\Bilder\DSC00873.JPG"/>
                          <pic:cNvPicPr>
                            <a:picLocks noChangeAspect="1" noChangeArrowheads="1"/>
                          </pic:cNvPicPr>
                        </pic:nvPicPr>
                        <pic:blipFill>
                          <a:blip r:embed="rId23" cstate="print"/>
                          <a:srcRect/>
                          <a:stretch>
                            <a:fillRect/>
                          </a:stretch>
                        </pic:blipFill>
                        <pic:spPr bwMode="auto">
                          <a:xfrm>
                            <a:off x="0" y="0"/>
                            <a:ext cx="1327531" cy="10524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57F5D" w:rsidRDefault="00D57F5D" w:rsidP="00C33915">
            <w:pPr>
              <w:pStyle w:val="Beschriftung"/>
            </w:pPr>
            <w:r>
              <w:t xml:space="preserve">Abbildung </w:t>
            </w:r>
            <w:fldSimple w:instr=" SEQ Abbildung \* ARABIC ">
              <w:r>
                <w:rPr>
                  <w:noProof/>
                </w:rPr>
                <w:t>6</w:t>
              </w:r>
            </w:fldSimple>
            <w:r>
              <w:t xml:space="preserve">: Die Rose nach dem Versuch.  </w:t>
            </w:r>
          </w:p>
        </w:tc>
        <w:tc>
          <w:tcPr>
            <w:tcW w:w="2410" w:type="dxa"/>
          </w:tcPr>
          <w:p w:rsidR="00D57F5D" w:rsidRDefault="00D57F5D" w:rsidP="00C33915">
            <w:pPr>
              <w:keepNext/>
              <w:tabs>
                <w:tab w:val="left" w:pos="1701"/>
                <w:tab w:val="left" w:pos="1985"/>
              </w:tabs>
            </w:pPr>
            <w:r>
              <w:rPr>
                <w:noProof/>
              </w:rPr>
              <w:drawing>
                <wp:inline distT="0" distB="0" distL="0" distR="0">
                  <wp:extent cx="2144671" cy="1050549"/>
                  <wp:effectExtent l="95250" t="76200" r="103229" b="73401"/>
                  <wp:docPr id="60" name="Bild 33" descr="D:\User\Jana\Göttingen - backup 28.07.2014\Master of Education\SVP\Protokolle\Protokoll 7&amp;8\Bilder\DSC00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User\Jana\Göttingen - backup 28.07.2014\Master of Education\SVP\Protokolle\Protokoll 7&amp;8\Bilder\DSC00875.JPG"/>
                          <pic:cNvPicPr>
                            <a:picLocks noChangeAspect="1" noChangeArrowheads="1"/>
                          </pic:cNvPicPr>
                        </pic:nvPicPr>
                        <pic:blipFill>
                          <a:blip r:embed="rId24" cstate="print"/>
                          <a:srcRect/>
                          <a:stretch>
                            <a:fillRect/>
                          </a:stretch>
                        </pic:blipFill>
                        <pic:spPr bwMode="auto">
                          <a:xfrm>
                            <a:off x="0" y="0"/>
                            <a:ext cx="2144671" cy="10505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57F5D" w:rsidRDefault="00D57F5D" w:rsidP="00C33915">
            <w:pPr>
              <w:pStyle w:val="Beschriftung"/>
              <w:rPr>
                <w:noProof/>
              </w:rPr>
            </w:pPr>
            <w:r>
              <w:t xml:space="preserve">Abbildung </w:t>
            </w:r>
            <w:fldSimple w:instr=" SEQ Abbildung \* ARABIC ">
              <w:r>
                <w:rPr>
                  <w:noProof/>
                </w:rPr>
                <w:t>7</w:t>
              </w:r>
            </w:fldSimple>
            <w:r>
              <w:t>: Das pink verfärbte Un</w:t>
            </w:r>
            <w:r>
              <w:t>i</w:t>
            </w:r>
            <w:r>
              <w:t xml:space="preserve">versalindikatorpapier. </w:t>
            </w:r>
          </w:p>
        </w:tc>
      </w:tr>
    </w:tbl>
    <w:p w:rsidR="00D57F5D" w:rsidRDefault="00D57F5D" w:rsidP="00D57F5D">
      <w:pPr>
        <w:tabs>
          <w:tab w:val="left" w:pos="1701"/>
          <w:tab w:val="left" w:pos="1985"/>
        </w:tabs>
        <w:ind w:left="1980" w:hanging="1980"/>
        <w:rPr>
          <w:bCs/>
          <w:color w:val="auto"/>
          <w:sz w:val="18"/>
          <w:szCs w:val="18"/>
        </w:rPr>
      </w:pPr>
    </w:p>
    <w:p w:rsidR="00D57F5D" w:rsidRDefault="00D57F5D" w:rsidP="00D57F5D">
      <w:pPr>
        <w:tabs>
          <w:tab w:val="left" w:pos="1701"/>
          <w:tab w:val="left" w:pos="1985"/>
        </w:tabs>
        <w:ind w:left="1980" w:hanging="1980"/>
      </w:pPr>
      <w:r>
        <w:t>Deutung:</w:t>
      </w:r>
      <w:r>
        <w:tab/>
      </w:r>
      <w:r>
        <w:tab/>
        <w:t>Die Rose wird von dem SO</w:t>
      </w:r>
      <w:r>
        <w:rPr>
          <w:vertAlign w:val="subscript"/>
        </w:rPr>
        <w:t xml:space="preserve">2 </w:t>
      </w:r>
      <w:r>
        <w:t xml:space="preserve">komplett entfärbt, da das Gas den Farbstoff zerstört. Im zweiten Standzylinder bildet sich durch die Zugabe von Wasser Schwefelsäure, welche das Universalindikatorpapier pink färbt. </w:t>
      </w:r>
    </w:p>
    <w:tbl>
      <w:tblPr>
        <w:tblStyle w:val="Tabellengitternetz"/>
        <w:tblW w:w="7484"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5"/>
        <w:gridCol w:w="3969"/>
      </w:tblGrid>
      <w:tr w:rsidR="00D57F5D" w:rsidRPr="005F78B1" w:rsidTr="00C33915">
        <w:tc>
          <w:tcPr>
            <w:tcW w:w="3515" w:type="dxa"/>
          </w:tcPr>
          <w:p w:rsidR="00D57F5D" w:rsidRPr="007D0D5A" w:rsidRDefault="00D57F5D" w:rsidP="00C33915">
            <w:pPr>
              <w:tabs>
                <w:tab w:val="left" w:pos="1701"/>
                <w:tab w:val="left" w:pos="1985"/>
              </w:tabs>
              <w:jc w:val="left"/>
              <w:rPr>
                <w:i/>
              </w:rPr>
            </w:pPr>
            <w:r w:rsidRPr="007D0D5A">
              <w:rPr>
                <w:i/>
                <w:lang w:val="en-US"/>
              </w:rPr>
              <w:t>S</w:t>
            </w:r>
            <w:r w:rsidRPr="007D0D5A">
              <w:rPr>
                <w:i/>
                <w:vertAlign w:val="subscript"/>
                <w:lang w:val="en-US"/>
              </w:rPr>
              <w:t xml:space="preserve">(s) </w:t>
            </w:r>
            <w:r w:rsidRPr="007D0D5A">
              <w:rPr>
                <w:i/>
                <w:lang w:val="en-US"/>
              </w:rPr>
              <w:t>+ O</w:t>
            </w:r>
            <w:r w:rsidRPr="007D0D5A">
              <w:rPr>
                <w:i/>
                <w:vertAlign w:val="subscript"/>
                <w:lang w:val="en-US"/>
              </w:rPr>
              <w:t xml:space="preserve">2 (g)  </w:t>
            </w:r>
            <m:oMath>
              <m:r>
                <w:rPr>
                  <w:rFonts w:ascii="Cambria Math" w:hAnsi="Cambria Math"/>
                  <w:vertAlign w:val="subscript"/>
                  <w:lang w:val="en-US"/>
                </w:rPr>
                <m:t xml:space="preserve">→ </m:t>
              </m:r>
            </m:oMath>
            <w:r w:rsidRPr="007D0D5A">
              <w:rPr>
                <w:i/>
                <w:lang w:val="en-US"/>
              </w:rPr>
              <w:t xml:space="preserve"> SO</w:t>
            </w:r>
            <w:r w:rsidRPr="007D0D5A">
              <w:rPr>
                <w:i/>
                <w:vertAlign w:val="subscript"/>
                <w:lang w:val="en-US"/>
              </w:rPr>
              <w:t>2 (g)</w:t>
            </w:r>
            <w:r w:rsidRPr="007D0D5A">
              <w:rPr>
                <w:i/>
              </w:rPr>
              <w:tab/>
            </w:r>
          </w:p>
        </w:tc>
        <w:tc>
          <w:tcPr>
            <w:tcW w:w="3969" w:type="dxa"/>
          </w:tcPr>
          <w:p w:rsidR="00D57F5D" w:rsidRPr="005F78B1" w:rsidRDefault="00D57F5D" w:rsidP="00C33915">
            <w:pPr>
              <w:tabs>
                <w:tab w:val="left" w:pos="1701"/>
                <w:tab w:val="left" w:pos="1985"/>
              </w:tabs>
              <w:spacing w:line="240" w:lineRule="auto"/>
            </w:pPr>
            <w:r w:rsidRPr="005F78B1">
              <w:t>Schwefel reagiert mit Sauerstoff zu Schw</w:t>
            </w:r>
            <w:r w:rsidRPr="005F78B1">
              <w:t>e</w:t>
            </w:r>
            <w:r w:rsidRPr="005F78B1">
              <w:t>feldioxid</w:t>
            </w:r>
          </w:p>
        </w:tc>
      </w:tr>
      <w:tr w:rsidR="00D57F5D" w:rsidRPr="005F78B1" w:rsidTr="00C33915">
        <w:tc>
          <w:tcPr>
            <w:tcW w:w="3515" w:type="dxa"/>
          </w:tcPr>
          <w:p w:rsidR="00D57F5D" w:rsidRPr="007D0D5A" w:rsidRDefault="00D57F5D" w:rsidP="00C33915">
            <w:pPr>
              <w:tabs>
                <w:tab w:val="left" w:pos="1701"/>
                <w:tab w:val="left" w:pos="1985"/>
              </w:tabs>
              <w:spacing w:line="240" w:lineRule="auto"/>
              <w:rPr>
                <w:i/>
              </w:rPr>
            </w:pPr>
            <w:r w:rsidRPr="007D0D5A">
              <w:rPr>
                <w:i/>
              </w:rPr>
              <w:t>(SO</w:t>
            </w:r>
            <w:r w:rsidRPr="007D0D5A">
              <w:rPr>
                <w:i/>
                <w:vertAlign w:val="subscript"/>
              </w:rPr>
              <w:t xml:space="preserve">2(g) </w:t>
            </w:r>
            <w:r>
              <w:rPr>
                <w:i/>
              </w:rPr>
              <w:t xml:space="preserve">+ </w:t>
            </w:r>
            <w:r w:rsidRPr="007D0D5A">
              <w:rPr>
                <w:i/>
              </w:rPr>
              <w:t xml:space="preserve"> H</w:t>
            </w:r>
            <w:r w:rsidRPr="007D0D5A">
              <w:rPr>
                <w:i/>
                <w:vertAlign w:val="subscript"/>
              </w:rPr>
              <w:t>2</w:t>
            </w:r>
            <w:r w:rsidRPr="007D0D5A">
              <w:rPr>
                <w:i/>
              </w:rPr>
              <w:t>O</w:t>
            </w:r>
            <w:r w:rsidRPr="007D0D5A">
              <w:rPr>
                <w:i/>
                <w:vertAlign w:val="subscript"/>
              </w:rPr>
              <w:t xml:space="preserve">(l) </w:t>
            </w:r>
            <m:oMath>
              <m:r>
                <w:rPr>
                  <w:rFonts w:ascii="Cambria Math" w:hAnsi="Cambria Math"/>
                  <w:vertAlign w:val="subscript"/>
                </w:rPr>
                <m:t xml:space="preserve">→ </m:t>
              </m:r>
            </m:oMath>
            <w:r w:rsidRPr="007D0D5A">
              <w:rPr>
                <w:i/>
              </w:rPr>
              <w:t>H</w:t>
            </w:r>
            <w:r w:rsidRPr="007D0D5A">
              <w:rPr>
                <w:i/>
                <w:vertAlign w:val="subscript"/>
              </w:rPr>
              <w:t>2</w:t>
            </w:r>
            <w:r w:rsidRPr="007D0D5A">
              <w:rPr>
                <w:i/>
              </w:rPr>
              <w:t>SO</w:t>
            </w:r>
            <w:r w:rsidRPr="007D0D5A">
              <w:rPr>
                <w:i/>
                <w:vertAlign w:val="subscript"/>
              </w:rPr>
              <w:t>3 (</w:t>
            </w:r>
            <w:proofErr w:type="spellStart"/>
            <w:r w:rsidRPr="007D0D5A">
              <w:rPr>
                <w:i/>
                <w:vertAlign w:val="subscript"/>
              </w:rPr>
              <w:t>aq</w:t>
            </w:r>
            <w:proofErr w:type="spellEnd"/>
            <w:r w:rsidRPr="007D0D5A">
              <w:rPr>
                <w:i/>
                <w:vertAlign w:val="subscript"/>
              </w:rPr>
              <w:t>)</w:t>
            </w:r>
            <w:r w:rsidRPr="007D0D5A">
              <w:rPr>
                <w:i/>
              </w:rPr>
              <w:t>)</w:t>
            </w:r>
          </w:p>
        </w:tc>
        <w:tc>
          <w:tcPr>
            <w:tcW w:w="3969" w:type="dxa"/>
          </w:tcPr>
          <w:p w:rsidR="00D57F5D" w:rsidRPr="005F78B1" w:rsidRDefault="00D57F5D" w:rsidP="00C33915">
            <w:pPr>
              <w:tabs>
                <w:tab w:val="left" w:pos="1701"/>
                <w:tab w:val="left" w:pos="1985"/>
              </w:tabs>
              <w:spacing w:line="240" w:lineRule="auto"/>
            </w:pPr>
            <w:r>
              <w:t>(Schwefeldioxid reagiert mit Wasser zu schwefeliger Säure)</w:t>
            </w:r>
          </w:p>
        </w:tc>
      </w:tr>
      <w:tr w:rsidR="00D57F5D" w:rsidRPr="005F78B1" w:rsidTr="00C33915">
        <w:tc>
          <w:tcPr>
            <w:tcW w:w="3515" w:type="dxa"/>
          </w:tcPr>
          <w:p w:rsidR="00D57F5D" w:rsidRPr="005F78B1" w:rsidRDefault="00D57F5D" w:rsidP="00C33915">
            <w:pPr>
              <w:tabs>
                <w:tab w:val="left" w:pos="1701"/>
                <w:tab w:val="left" w:pos="1985"/>
              </w:tabs>
              <w:ind w:left="1980" w:hanging="1980"/>
            </w:pPr>
            <w:r>
              <w:rPr>
                <w:i/>
              </w:rPr>
              <w:t xml:space="preserve">2 </w:t>
            </w:r>
            <w:r w:rsidRPr="007D0D5A">
              <w:rPr>
                <w:i/>
              </w:rPr>
              <w:t>H</w:t>
            </w:r>
            <w:r w:rsidRPr="007D0D5A">
              <w:rPr>
                <w:i/>
                <w:vertAlign w:val="subscript"/>
              </w:rPr>
              <w:t>2</w:t>
            </w:r>
            <w:r w:rsidRPr="007D0D5A">
              <w:rPr>
                <w:i/>
              </w:rPr>
              <w:t>SO</w:t>
            </w:r>
            <w:r w:rsidRPr="007D0D5A">
              <w:rPr>
                <w:i/>
                <w:vertAlign w:val="subscript"/>
              </w:rPr>
              <w:t>3 (</w:t>
            </w:r>
            <w:proofErr w:type="spellStart"/>
            <w:r w:rsidRPr="007D0D5A">
              <w:rPr>
                <w:i/>
                <w:vertAlign w:val="subscript"/>
              </w:rPr>
              <w:t>aq</w:t>
            </w:r>
            <w:proofErr w:type="spellEnd"/>
            <w:r w:rsidRPr="007D0D5A">
              <w:rPr>
                <w:i/>
                <w:vertAlign w:val="subscript"/>
              </w:rPr>
              <w:t>)</w:t>
            </w:r>
            <w:r w:rsidRPr="007D0D5A">
              <w:rPr>
                <w:i/>
              </w:rPr>
              <w:t xml:space="preserve"> + </w:t>
            </w:r>
            <w:r>
              <w:rPr>
                <w:i/>
              </w:rPr>
              <w:t>O</w:t>
            </w:r>
            <w:r>
              <w:rPr>
                <w:i/>
                <w:vertAlign w:val="subscript"/>
              </w:rPr>
              <w:t>2(g)</w:t>
            </w:r>
            <m:oMath>
              <m:r>
                <w:rPr>
                  <w:rFonts w:ascii="Cambria Math" w:hAnsi="Cambria Math"/>
                  <w:vertAlign w:val="subscript"/>
                </w:rPr>
                <m:t xml:space="preserve"> →</m:t>
              </m:r>
            </m:oMath>
            <w:r w:rsidRPr="007D0D5A">
              <w:rPr>
                <w:i/>
                <w:vertAlign w:val="subscript"/>
              </w:rPr>
              <w:t xml:space="preserve"> </w:t>
            </w:r>
            <w:r w:rsidRPr="007D0D5A">
              <w:rPr>
                <w:i/>
              </w:rPr>
              <w:t>2H</w:t>
            </w:r>
            <w:r w:rsidRPr="007D0D5A">
              <w:rPr>
                <w:i/>
                <w:vertAlign w:val="subscript"/>
              </w:rPr>
              <w:t>2</w:t>
            </w:r>
            <w:r w:rsidRPr="007D0D5A">
              <w:rPr>
                <w:i/>
              </w:rPr>
              <w:t>SO</w:t>
            </w:r>
            <w:r w:rsidRPr="007D0D5A">
              <w:rPr>
                <w:i/>
                <w:vertAlign w:val="subscript"/>
              </w:rPr>
              <w:t>4 (</w:t>
            </w:r>
            <w:proofErr w:type="spellStart"/>
            <w:r w:rsidRPr="007D0D5A">
              <w:rPr>
                <w:i/>
                <w:vertAlign w:val="subscript"/>
              </w:rPr>
              <w:t>aq</w:t>
            </w:r>
            <w:proofErr w:type="spellEnd"/>
            <w:r w:rsidRPr="007D0D5A">
              <w:rPr>
                <w:i/>
                <w:vertAlign w:val="subscript"/>
              </w:rPr>
              <w:t>)</w:t>
            </w:r>
            <w:r>
              <w:rPr>
                <w:i/>
                <w:vertAlign w:val="subscript"/>
              </w:rPr>
              <w:t xml:space="preserve"> </w:t>
            </w:r>
          </w:p>
        </w:tc>
        <w:tc>
          <w:tcPr>
            <w:tcW w:w="3969" w:type="dxa"/>
          </w:tcPr>
          <w:p w:rsidR="00D57F5D" w:rsidRPr="005F78B1" w:rsidRDefault="00D57F5D" w:rsidP="00C33915">
            <w:pPr>
              <w:tabs>
                <w:tab w:val="left" w:pos="1701"/>
                <w:tab w:val="left" w:pos="1985"/>
              </w:tabs>
              <w:spacing w:line="240" w:lineRule="auto"/>
            </w:pPr>
            <w:r>
              <w:t>Schwefelige Säure reagiert mit Sauerstoff zu Schwefelsäure</w:t>
            </w:r>
          </w:p>
        </w:tc>
      </w:tr>
    </w:tbl>
    <w:p w:rsidR="00D57F5D" w:rsidRDefault="00D57F5D" w:rsidP="00D57F5D">
      <w:pPr>
        <w:tabs>
          <w:tab w:val="left" w:pos="1701"/>
          <w:tab w:val="left" w:pos="1985"/>
        </w:tabs>
        <w:ind w:left="1980" w:hanging="1980"/>
      </w:pPr>
    </w:p>
    <w:p w:rsidR="00D57F5D" w:rsidRDefault="00D57F5D" w:rsidP="00D57F5D">
      <w:pPr>
        <w:tabs>
          <w:tab w:val="left" w:pos="1701"/>
          <w:tab w:val="left" w:pos="1985"/>
        </w:tabs>
        <w:ind w:left="1980" w:hanging="1980"/>
      </w:pPr>
      <w:r>
        <w:tab/>
      </w:r>
      <w:r>
        <w:tab/>
        <w:t>Der Marmor, CaCO</w:t>
      </w:r>
      <w:r>
        <w:rPr>
          <w:vertAlign w:val="subscript"/>
        </w:rPr>
        <w:t>3 (s</w:t>
      </w:r>
      <w:proofErr w:type="gramStart"/>
      <w:r>
        <w:rPr>
          <w:vertAlign w:val="subscript"/>
        </w:rPr>
        <w:t>) ,</w:t>
      </w:r>
      <w:proofErr w:type="gramEnd"/>
      <w:r>
        <w:rPr>
          <w:vertAlign w:val="subscript"/>
        </w:rPr>
        <w:t xml:space="preserve"> </w:t>
      </w:r>
      <w:r>
        <w:t xml:space="preserve">wird von der Schwefelsäure zersetzt. </w:t>
      </w:r>
    </w:p>
    <w:p w:rsidR="00D57F5D" w:rsidRPr="005F78B1" w:rsidRDefault="00D57F5D" w:rsidP="00D57F5D">
      <w:pPr>
        <w:tabs>
          <w:tab w:val="left" w:pos="1701"/>
          <w:tab w:val="left" w:pos="1985"/>
        </w:tabs>
        <w:ind w:left="1980" w:hanging="1980"/>
        <w:rPr>
          <w:vertAlign w:val="subscript"/>
        </w:rPr>
      </w:pPr>
      <w:r>
        <w:tab/>
      </w:r>
      <w:r>
        <w:tab/>
        <w:t xml:space="preserve">Marmor reagiert mit Schwefelsäure zu Calcium-Ionen, Kohlenstoffdioxid, Wasser und Sulfat-Ionen. </w:t>
      </w:r>
    </w:p>
    <w:p w:rsidR="00D57F5D" w:rsidRPr="007B2415" w:rsidRDefault="00D57F5D" w:rsidP="00D57F5D">
      <w:pPr>
        <w:tabs>
          <w:tab w:val="left" w:pos="1701"/>
          <w:tab w:val="left" w:pos="1985"/>
        </w:tabs>
        <w:ind w:left="1980" w:hanging="1980"/>
        <w:rPr>
          <w:vertAlign w:val="subscript"/>
        </w:rPr>
      </w:pPr>
      <w:r>
        <w:lastRenderedPageBreak/>
        <w:tab/>
      </w:r>
      <w:r>
        <w:tab/>
      </w:r>
      <w:r w:rsidRPr="007B2415">
        <w:t>CaCO</w:t>
      </w:r>
      <w:r w:rsidRPr="007B2415">
        <w:rPr>
          <w:vertAlign w:val="subscript"/>
        </w:rPr>
        <w:t xml:space="preserve">3 (s) </w:t>
      </w:r>
      <w:r w:rsidRPr="007B2415">
        <w:t>+ H</w:t>
      </w:r>
      <w:r w:rsidRPr="007B2415">
        <w:rPr>
          <w:vertAlign w:val="subscript"/>
        </w:rPr>
        <w:t>2</w:t>
      </w:r>
      <w:r w:rsidRPr="007B2415">
        <w:t>SO</w:t>
      </w:r>
      <w:r w:rsidRPr="007B2415">
        <w:rPr>
          <w:vertAlign w:val="subscript"/>
        </w:rPr>
        <w:t>4 (</w:t>
      </w:r>
      <w:proofErr w:type="spellStart"/>
      <w:r w:rsidRPr="007B2415">
        <w:rPr>
          <w:vertAlign w:val="subscript"/>
        </w:rPr>
        <w:t>aq</w:t>
      </w:r>
      <w:proofErr w:type="spellEnd"/>
      <w:r w:rsidRPr="007B2415">
        <w:rPr>
          <w:vertAlign w:val="subscript"/>
        </w:rPr>
        <w:t>)</w:t>
      </w:r>
      <w:r w:rsidRPr="007B2415">
        <w:t xml:space="preserve"> </w:t>
      </w:r>
      <m:oMath>
        <m:r>
          <w:rPr>
            <w:rFonts w:ascii="Cambria Math" w:hAnsi="Cambria Math"/>
            <w:vertAlign w:val="subscript"/>
          </w:rPr>
          <m:t xml:space="preserve">→ </m:t>
        </m:r>
      </m:oMath>
      <w:r w:rsidRPr="007B2415">
        <w:t>Ca</w:t>
      </w:r>
      <w:r w:rsidRPr="007B2415">
        <w:rPr>
          <w:vertAlign w:val="superscript"/>
        </w:rPr>
        <w:t>2+</w:t>
      </w:r>
      <w:r w:rsidRPr="007B2415">
        <w:rPr>
          <w:vertAlign w:val="subscript"/>
        </w:rPr>
        <w:t>(</w:t>
      </w:r>
      <w:proofErr w:type="spellStart"/>
      <w:r w:rsidRPr="007B2415">
        <w:rPr>
          <w:vertAlign w:val="subscript"/>
        </w:rPr>
        <w:t>aq</w:t>
      </w:r>
      <w:proofErr w:type="spellEnd"/>
      <w:r w:rsidRPr="007B2415">
        <w:rPr>
          <w:vertAlign w:val="subscript"/>
        </w:rPr>
        <w:t>)</w:t>
      </w:r>
      <w:r w:rsidRPr="007B2415">
        <w:rPr>
          <w:vertAlign w:val="superscript"/>
        </w:rPr>
        <w:t xml:space="preserve"> </w:t>
      </w:r>
      <w:r w:rsidRPr="007B2415">
        <w:t>+ CO</w:t>
      </w:r>
      <w:r w:rsidRPr="007B2415">
        <w:rPr>
          <w:vertAlign w:val="subscript"/>
        </w:rPr>
        <w:t xml:space="preserve">2 (g) </w:t>
      </w:r>
      <w:r w:rsidRPr="007B2415">
        <w:t>+ H</w:t>
      </w:r>
      <w:r w:rsidRPr="007B2415">
        <w:rPr>
          <w:vertAlign w:val="subscript"/>
        </w:rPr>
        <w:t>2</w:t>
      </w:r>
      <w:r w:rsidRPr="007B2415">
        <w:t>O</w:t>
      </w:r>
      <w:r w:rsidRPr="007B2415">
        <w:rPr>
          <w:vertAlign w:val="subscript"/>
        </w:rPr>
        <w:t xml:space="preserve">(l) </w:t>
      </w:r>
      <w:r w:rsidRPr="007B2415">
        <w:t>+ SO</w:t>
      </w:r>
      <w:r w:rsidRPr="007B2415">
        <w:rPr>
          <w:vertAlign w:val="subscript"/>
        </w:rPr>
        <w:t>4</w:t>
      </w:r>
      <w:r w:rsidRPr="007B2415">
        <w:rPr>
          <w:vertAlign w:val="superscript"/>
        </w:rPr>
        <w:t>2-</w:t>
      </w:r>
      <w:r w:rsidRPr="007B2415">
        <w:rPr>
          <w:vertAlign w:val="subscript"/>
        </w:rPr>
        <w:t>(</w:t>
      </w:r>
      <w:proofErr w:type="spellStart"/>
      <w:r w:rsidRPr="007B2415">
        <w:rPr>
          <w:vertAlign w:val="subscript"/>
        </w:rPr>
        <w:t>aq</w:t>
      </w:r>
      <w:proofErr w:type="spellEnd"/>
      <w:r w:rsidRPr="007B2415">
        <w:rPr>
          <w:vertAlign w:val="subscript"/>
        </w:rPr>
        <w:t>)</w:t>
      </w:r>
    </w:p>
    <w:p w:rsidR="00D57F5D" w:rsidRPr="007B2415" w:rsidRDefault="00D57F5D" w:rsidP="00D57F5D">
      <w:pPr>
        <w:tabs>
          <w:tab w:val="left" w:pos="1701"/>
          <w:tab w:val="left" w:pos="1985"/>
        </w:tabs>
        <w:ind w:left="1980" w:hanging="1980"/>
      </w:pPr>
      <w:r w:rsidRPr="007B2415">
        <w:t xml:space="preserve">Entsorgung: </w:t>
      </w:r>
      <w:r w:rsidRPr="007B2415">
        <w:tab/>
      </w:r>
      <w:r w:rsidRPr="007B2415">
        <w:tab/>
        <w:t>D</w:t>
      </w:r>
      <w:r>
        <w:t xml:space="preserve">ie Feststoffe können in den Hausmüll entsorgt werden, die entstandene Säure kann mit viel Wasser in den Abfluss gegossen werden. Schwefelreste im Verbrennungslöffel unter dem Abzug verbrennen. </w:t>
      </w:r>
    </w:p>
    <w:p w:rsidR="00D57F5D" w:rsidRPr="00AD6F63" w:rsidRDefault="00D57F5D" w:rsidP="00D57F5D">
      <w:pPr>
        <w:tabs>
          <w:tab w:val="left" w:pos="1701"/>
          <w:tab w:val="left" w:pos="1985"/>
        </w:tabs>
        <w:ind w:left="1980" w:hanging="1980"/>
        <w:rPr>
          <w:vertAlign w:val="subscript"/>
        </w:rPr>
      </w:pPr>
      <w:r>
        <w:t>Literatur [1]</w:t>
      </w:r>
      <w:r w:rsidRPr="007B2415">
        <w:t>http://www.lehrerweb.at/materials/gs/su/technik/print/fernwaerme/egietr_exp/fw_experiment.pdf</w:t>
      </w:r>
      <w:r>
        <w:t xml:space="preserve"> (letzter Zugang am 08.08.2014 um 18 Uhr). </w:t>
      </w:r>
    </w:p>
    <w:p w:rsidR="006B513F" w:rsidRPr="001A42B4" w:rsidRDefault="00D57F5D" w:rsidP="00D57F5D">
      <w:r>
        <w:pict>
          <v:shape id="_x0000_s1036" type="#_x0000_t202" style="width:462.45pt;height:203.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36">
              <w:txbxContent>
                <w:p w:rsidR="00D57F5D" w:rsidRPr="00CD03BD" w:rsidRDefault="00D57F5D" w:rsidP="00D57F5D">
                  <w:pPr>
                    <w:rPr>
                      <w:color w:val="1F497D"/>
                    </w:rPr>
                  </w:pPr>
                  <w:r w:rsidRPr="00CD03BD">
                    <w:rPr>
                      <w:b/>
                      <w:color w:val="1F497D"/>
                    </w:rPr>
                    <w:t xml:space="preserve">Unterrichtsanschlüsse </w:t>
                  </w:r>
                  <w:r>
                    <w:rPr>
                      <w:color w:val="auto"/>
                    </w:rPr>
                    <w:t xml:space="preserve">Dieser Versuch erlaubt </w:t>
                  </w:r>
                  <w:proofErr w:type="spellStart"/>
                  <w:r>
                    <w:rPr>
                      <w:color w:val="auto"/>
                    </w:rPr>
                    <w:t>SuS</w:t>
                  </w:r>
                  <w:proofErr w:type="spellEnd"/>
                  <w:r>
                    <w:rPr>
                      <w:color w:val="auto"/>
                    </w:rPr>
                    <w:t>, die Effekte von saurem Regen und SO</w:t>
                  </w:r>
                  <w:r>
                    <w:rPr>
                      <w:color w:val="auto"/>
                      <w:vertAlign w:val="subscript"/>
                    </w:rPr>
                    <w:t>2</w:t>
                  </w:r>
                  <w:r>
                    <w:rPr>
                      <w:color w:val="auto"/>
                    </w:rPr>
                    <w:t>, ein signifikanter Bestandteil von Smog, auf die Umwelt zu sehen. Auf Grund der Giftigkeit des G</w:t>
                  </w:r>
                  <w:r>
                    <w:rPr>
                      <w:color w:val="auto"/>
                    </w:rPr>
                    <w:t>a</w:t>
                  </w:r>
                  <w:r>
                    <w:rPr>
                      <w:color w:val="auto"/>
                    </w:rPr>
                    <w:t xml:space="preserve">ses und der Notwendigkeit den Versuch unter dem Abzug durchzuführen, ist es sinnvoll ihn als Lehrerversuch einzusetzen, da es nicht genügend Abzüge in der Schule gibt und die </w:t>
                  </w:r>
                  <w:proofErr w:type="spellStart"/>
                  <w:r>
                    <w:rPr>
                      <w:color w:val="auto"/>
                    </w:rPr>
                    <w:t>SuS</w:t>
                  </w:r>
                  <w:proofErr w:type="spellEnd"/>
                  <w:r>
                    <w:rPr>
                      <w:color w:val="auto"/>
                    </w:rPr>
                    <w:t xml:space="preserve"> somit nicht mit dem gefährlichen Gas hantieren müssen. Die Alternative zu diesem Versuch, die U</w:t>
                  </w:r>
                  <w:r>
                    <w:rPr>
                      <w:color w:val="auto"/>
                    </w:rPr>
                    <w:t>n</w:t>
                  </w:r>
                  <w:r>
                    <w:rPr>
                      <w:color w:val="auto"/>
                    </w:rPr>
                    <w:t xml:space="preserve">tersuchung der Effekte von Stickoxiden auf die Umwelt, ist nicht wünschenswert, da Stickoxide umweltschädlicher und giftiger sind. Eine saure Regen Variante für </w:t>
                  </w:r>
                  <w:proofErr w:type="spellStart"/>
                  <w:r>
                    <w:rPr>
                      <w:color w:val="auto"/>
                    </w:rPr>
                    <w:t>SuS</w:t>
                  </w:r>
                  <w:proofErr w:type="spellEnd"/>
                  <w:r>
                    <w:rPr>
                      <w:color w:val="auto"/>
                    </w:rPr>
                    <w:t xml:space="preserve"> wäre Kohle auf einem Verbrennungslöffel in einem Standzylinder, der zu 5 cm mit einer Lösung von </w:t>
                  </w:r>
                  <w:proofErr w:type="spellStart"/>
                  <w:r>
                    <w:rPr>
                      <w:color w:val="auto"/>
                    </w:rPr>
                    <w:t>Thymolblau</w:t>
                  </w:r>
                  <w:proofErr w:type="spellEnd"/>
                  <w:r>
                    <w:rPr>
                      <w:color w:val="auto"/>
                    </w:rPr>
                    <w:t xml:space="preserve"> g</w:t>
                  </w:r>
                  <w:r>
                    <w:rPr>
                      <w:color w:val="auto"/>
                    </w:rPr>
                    <w:t>e</w:t>
                  </w:r>
                  <w:r>
                    <w:rPr>
                      <w:color w:val="auto"/>
                    </w:rPr>
                    <w:t xml:space="preserve">füllt ist, verbrennen zu lassen. Durch Schütteln lässt sich die Lösung pink färben und Säure nachweisen. </w:t>
                  </w:r>
                </w:p>
              </w:txbxContent>
            </v:textbox>
            <w10:wrap type="none"/>
            <w10:anchorlock/>
          </v:shape>
        </w:pict>
      </w:r>
    </w:p>
    <w:sectPr w:rsidR="006B513F" w:rsidRPr="001A42B4" w:rsidSect="00651503">
      <w:headerReference w:type="default" r:id="rId25"/>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E53" w:rsidRDefault="00B12E53" w:rsidP="00EC3514">
      <w:pPr>
        <w:spacing w:after="0" w:line="240" w:lineRule="auto"/>
      </w:pPr>
      <w:r>
        <w:separator/>
      </w:r>
    </w:p>
  </w:endnote>
  <w:endnote w:type="continuationSeparator" w:id="0">
    <w:p w:rsidR="00B12E53" w:rsidRDefault="00B12E53"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E53" w:rsidRDefault="00B12E53" w:rsidP="00EC3514">
      <w:pPr>
        <w:spacing w:after="0" w:line="240" w:lineRule="auto"/>
      </w:pPr>
      <w:r>
        <w:separator/>
      </w:r>
    </w:p>
  </w:footnote>
  <w:footnote w:type="continuationSeparator" w:id="0">
    <w:p w:rsidR="00B12E53" w:rsidRDefault="00B12E53"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D57F5D">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C3514"/>
    <w:rsid w:val="001A42B4"/>
    <w:rsid w:val="003F413F"/>
    <w:rsid w:val="00601DD6"/>
    <w:rsid w:val="00651503"/>
    <w:rsid w:val="006B513F"/>
    <w:rsid w:val="00A0189E"/>
    <w:rsid w:val="00B12E53"/>
    <w:rsid w:val="00B5741E"/>
    <w:rsid w:val="00D57F5D"/>
    <w:rsid w:val="00DE74CC"/>
    <w:rsid w:val="00EC3514"/>
    <w:rsid w:val="00F129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semiHidden/>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3514"/>
    <w:rPr>
      <w:rFonts w:ascii="Cambria" w:eastAsia="Calibri" w:hAnsi="Cambria" w:cs="Times New Roman"/>
      <w:color w:val="1D1B11"/>
    </w:rPr>
  </w:style>
  <w:style w:type="character" w:styleId="Hyperlink">
    <w:name w:val="Hyperlink"/>
    <w:uiPriority w:val="99"/>
    <w:unhideWhenUsed/>
    <w:rsid w:val="006B513F"/>
    <w:rPr>
      <w:color w:val="0000FF"/>
      <w:u w:val="single"/>
    </w:rPr>
  </w:style>
  <w:style w:type="paragraph" w:styleId="Listenabsatz">
    <w:name w:val="List Paragraph"/>
    <w:basedOn w:val="Standard"/>
    <w:uiPriority w:val="34"/>
    <w:qFormat/>
    <w:rsid w:val="003F413F"/>
    <w:pPr>
      <w:spacing w:line="276" w:lineRule="auto"/>
      <w:ind w:left="720"/>
      <w:contextualSpacing/>
    </w:pPr>
    <w:rPr>
      <w:rFonts w:ascii="Calibri" w:hAnsi="Calibri"/>
      <w:color w:val="000000"/>
    </w:rPr>
  </w:style>
  <w:style w:type="paragraph" w:styleId="Funotentext">
    <w:name w:val="footnote text"/>
    <w:basedOn w:val="Standard"/>
    <w:link w:val="FunotentextZchn"/>
    <w:uiPriority w:val="99"/>
    <w:semiHidden/>
    <w:unhideWhenUsed/>
    <w:rsid w:val="003F41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413F"/>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3F41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de.wikipedia.org/wiki/H-_und_P-S%C3%A4tze" TargetMode="Externa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yperlink" Target="http://de.wikipedia.org/wiki/H-_und_P-S%C3%A4tze"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4D4665"/>
    <w:rsid w:val="00A12E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 w:type="paragraph" w:customStyle="1" w:styleId="B50AD2416C3C4CBBA72732ADF843E1D4">
    <w:name w:val="B50AD2416C3C4CBBA72732ADF843E1D4"/>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2742</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2</cp:revision>
  <cp:lastPrinted>2014-08-26T19:16:00Z</cp:lastPrinted>
  <dcterms:created xsi:type="dcterms:W3CDTF">2014-08-26T19:18:00Z</dcterms:created>
  <dcterms:modified xsi:type="dcterms:W3CDTF">2014-08-26T19:18:00Z</dcterms:modified>
</cp:coreProperties>
</file>