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52" w:rsidRDefault="00D12B52" w:rsidP="00D12B52">
      <w:pPr>
        <w:pStyle w:val="berschrift1"/>
        <w:numPr>
          <w:ilvl w:val="0"/>
          <w:numId w:val="0"/>
        </w:numPr>
        <w:ind w:left="432" w:hanging="432"/>
      </w:pPr>
      <w:r w:rsidRPr="00E73A40">
        <w:rPr>
          <w:noProof/>
        </w:rPr>
        <w:pict>
          <v:shapetype id="_x0000_t202" coordsize="21600,21600" o:spt="202" path="m,l,21600r21600,l21600,xe">
            <v:stroke joinstyle="miter"/>
            <v:path gradientshapeok="t" o:connecttype="rect"/>
          </v:shapetype>
          <v:shape id="_x0000_s1041" type="#_x0000_t202" style="position:absolute;left:0;text-align:left;margin-left:.55pt;margin-top:61.45pt;width:462.45pt;height:12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12B52" w:rsidRPr="00CD03BD" w:rsidRDefault="00D12B52" w:rsidP="00D12B52">
                  <w:pPr>
                    <w:rPr>
                      <w:color w:val="1F497D"/>
                    </w:rPr>
                  </w:pPr>
                  <w:r>
                    <w:rPr>
                      <w:color w:val="auto"/>
                    </w:rPr>
                    <w:t xml:space="preserve">In diesem Versuch stellen </w:t>
                  </w:r>
                  <w:proofErr w:type="spellStart"/>
                  <w:r>
                    <w:rPr>
                      <w:color w:val="auto"/>
                    </w:rPr>
                    <w:t>SuS</w:t>
                  </w:r>
                  <w:proofErr w:type="spellEnd"/>
                  <w:r>
                    <w:rPr>
                      <w:color w:val="auto"/>
                    </w:rPr>
                    <w:t xml:space="preserve"> ein Indikatorpapier für Ozon her, um qualitativ zu überprüfen, wo Ozonkonzentrationen am höchsten sind. Da Ozon ein schädlicher Bestandteil von Smog ist, sollen </w:t>
                  </w:r>
                  <w:proofErr w:type="spellStart"/>
                  <w:r>
                    <w:rPr>
                      <w:color w:val="auto"/>
                    </w:rPr>
                    <w:t>SuS</w:t>
                  </w:r>
                  <w:proofErr w:type="spellEnd"/>
                  <w:r>
                    <w:rPr>
                      <w:color w:val="auto"/>
                    </w:rPr>
                    <w:t xml:space="preserve"> selbst entscheiden, wo eventuell Quellen für bodennahes Ozon zu finden sind. Hier wäre es wichtig, dass </w:t>
                  </w:r>
                  <w:proofErr w:type="spellStart"/>
                  <w:r>
                    <w:rPr>
                      <w:color w:val="auto"/>
                    </w:rPr>
                    <w:t>SuS</w:t>
                  </w:r>
                  <w:proofErr w:type="spellEnd"/>
                  <w:r>
                    <w:rPr>
                      <w:color w:val="auto"/>
                    </w:rPr>
                    <w:t xml:space="preserve"> bereits mit Ozon und seiner Rolle in der Stratosphäre, sowie mit der Giftigkeit von Ozon am Boden vertraut wären. Für diesen Versuch wird kein Ozon hergestellt, sondern nur die bereits bestehende Konzentration an bestimmten Stellen untersucht. </w:t>
                  </w:r>
                </w:p>
              </w:txbxContent>
            </v:textbox>
            <w10:wrap type="square"/>
          </v:shape>
        </w:pict>
      </w:r>
      <w:bookmarkStart w:id="0" w:name="_Toc396152615"/>
      <w:r>
        <w:t>V 4 – Wo entsteht Ozon?</w:t>
      </w:r>
      <w:bookmarkEnd w:id="0"/>
    </w:p>
    <w:p w:rsidR="00D12B52" w:rsidRDefault="00D12B52" w:rsidP="00D12B52">
      <w:pPr>
        <w:tabs>
          <w:tab w:val="left" w:pos="1701"/>
          <w:tab w:val="left" w:pos="1985"/>
        </w:tabs>
        <w:ind w:left="1980" w:hanging="1980"/>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12B52" w:rsidRPr="00CD03BD" w:rsidTr="00C33915">
        <w:tc>
          <w:tcPr>
            <w:tcW w:w="9322" w:type="dxa"/>
            <w:gridSpan w:val="9"/>
            <w:shd w:val="clear" w:color="auto" w:fill="4F81BD"/>
            <w:vAlign w:val="center"/>
          </w:tcPr>
          <w:p w:rsidR="00D12B52" w:rsidRPr="00CD03BD" w:rsidRDefault="00D12B52" w:rsidP="00C33915">
            <w:pPr>
              <w:spacing w:after="0"/>
              <w:jc w:val="center"/>
              <w:rPr>
                <w:b/>
                <w:bCs/>
              </w:rPr>
            </w:pPr>
            <w:r w:rsidRPr="00CD03BD">
              <w:rPr>
                <w:b/>
                <w:bCs/>
              </w:rPr>
              <w:t>Gefahrenstoffe</w:t>
            </w:r>
          </w:p>
        </w:tc>
      </w:tr>
      <w:tr w:rsidR="00D12B52"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12B52" w:rsidRPr="00CD03BD" w:rsidRDefault="00D12B52" w:rsidP="00C33915">
            <w:pPr>
              <w:spacing w:after="0" w:line="276" w:lineRule="auto"/>
              <w:jc w:val="center"/>
              <w:rPr>
                <w:b/>
                <w:bCs/>
              </w:rPr>
            </w:pPr>
            <w:r>
              <w:rPr>
                <w:sz w:val="20"/>
              </w:rPr>
              <w:t>Ozon</w:t>
            </w:r>
          </w:p>
        </w:tc>
        <w:tc>
          <w:tcPr>
            <w:tcW w:w="3177" w:type="dxa"/>
            <w:gridSpan w:val="3"/>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sz w:val="20"/>
              </w:rPr>
              <w:t>Es liegen noch keine Gefahre</w:t>
            </w:r>
            <w:r>
              <w:rPr>
                <w:sz w:val="20"/>
              </w:rPr>
              <w:t>n</w:t>
            </w:r>
            <w:r>
              <w:rPr>
                <w:sz w:val="20"/>
              </w:rPr>
              <w:t>hinweise nach GHS vor.</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12B52" w:rsidRPr="00CD03BD" w:rsidRDefault="00D12B52" w:rsidP="00C33915">
            <w:pPr>
              <w:spacing w:after="0"/>
              <w:jc w:val="center"/>
            </w:pPr>
          </w:p>
        </w:tc>
      </w:tr>
      <w:tr w:rsidR="00D12B52"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12B52" w:rsidRDefault="00D12B52" w:rsidP="00C33915">
            <w:pPr>
              <w:spacing w:after="0" w:line="276" w:lineRule="auto"/>
              <w:jc w:val="center"/>
              <w:rPr>
                <w:sz w:val="20"/>
              </w:rPr>
            </w:pPr>
            <w:r>
              <w:rPr>
                <w:sz w:val="20"/>
              </w:rPr>
              <w:t>Kaliumcarbonat</w:t>
            </w:r>
          </w:p>
        </w:tc>
        <w:tc>
          <w:tcPr>
            <w:tcW w:w="3177" w:type="dxa"/>
            <w:gridSpan w:val="3"/>
            <w:tcBorders>
              <w:top w:val="single" w:sz="8" w:space="0" w:color="4F81BD"/>
              <w:bottom w:val="single" w:sz="8" w:space="0" w:color="4F81BD"/>
            </w:tcBorders>
            <w:shd w:val="clear" w:color="auto" w:fill="auto"/>
            <w:vAlign w:val="center"/>
          </w:tcPr>
          <w:p w:rsidR="00D12B52" w:rsidRPr="007D0D5A" w:rsidRDefault="00D12B52" w:rsidP="00C33915">
            <w:pPr>
              <w:spacing w:after="0"/>
              <w:jc w:val="center"/>
              <w:rPr>
                <w:sz w:val="20"/>
                <w:szCs w:val="20"/>
              </w:rPr>
            </w:pPr>
            <w:r w:rsidRPr="007D0D5A">
              <w:rPr>
                <w:sz w:val="20"/>
                <w:szCs w:val="20"/>
              </w:rPr>
              <w:t>H: 315-319-335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12B52" w:rsidRPr="007D0D5A" w:rsidRDefault="00D12B52" w:rsidP="00C33915">
            <w:pPr>
              <w:spacing w:after="0"/>
              <w:jc w:val="center"/>
              <w:rPr>
                <w:sz w:val="20"/>
                <w:szCs w:val="20"/>
              </w:rPr>
            </w:pPr>
            <w:r w:rsidRPr="007D0D5A">
              <w:rPr>
                <w:sz w:val="20"/>
                <w:szCs w:val="20"/>
              </w:rPr>
              <w:t>P: 302+352-305+351+338</w:t>
            </w:r>
          </w:p>
        </w:tc>
      </w:tr>
      <w:tr w:rsidR="00D12B52" w:rsidRPr="00CD03BD" w:rsidTr="00C33915">
        <w:tc>
          <w:tcPr>
            <w:tcW w:w="1009" w:type="dxa"/>
            <w:tcBorders>
              <w:top w:val="single" w:sz="8" w:space="0" w:color="4F81BD"/>
              <w:left w:val="single" w:sz="8" w:space="0" w:color="4F81BD"/>
              <w:bottom w:val="single" w:sz="8" w:space="0" w:color="4F81BD"/>
            </w:tcBorders>
            <w:shd w:val="clear" w:color="auto" w:fill="auto"/>
            <w:vAlign w:val="center"/>
          </w:tcPr>
          <w:p w:rsidR="00D12B52" w:rsidRPr="00CD03BD" w:rsidRDefault="00D12B52" w:rsidP="00C33915">
            <w:pPr>
              <w:spacing w:after="0"/>
              <w:jc w:val="center"/>
              <w:rPr>
                <w:b/>
                <w:bCs/>
              </w:rPr>
            </w:pPr>
            <w:r>
              <w:rPr>
                <w:b/>
                <w:bCs/>
                <w:noProof/>
                <w:lang w:eastAsia="de-DE"/>
              </w:rPr>
              <w:drawing>
                <wp:inline distT="0" distB="0" distL="0" distR="0">
                  <wp:extent cx="503555" cy="503555"/>
                  <wp:effectExtent l="19050" t="0" r="0" b="0"/>
                  <wp:docPr id="57" name="Grafik 8" descr="Ät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 (2).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3555" cy="503555"/>
                  <wp:effectExtent l="19050" t="0" r="0" b="0"/>
                  <wp:docPr id="61" name="Grafik 23"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8"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1015" cy="501015"/>
                  <wp:effectExtent l="19050" t="0" r="0" b="0"/>
                  <wp:docPr id="6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3555" cy="503555"/>
                  <wp:effectExtent l="19050" t="0" r="0" b="0"/>
                  <wp:docPr id="96" name="Grafik 26"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0" cstate="print"/>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1015" cy="501015"/>
                  <wp:effectExtent l="19050" t="0" r="0" b="0"/>
                  <wp:docPr id="9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1015" cy="501015"/>
                  <wp:effectExtent l="19050" t="0" r="0" b="0"/>
                  <wp:docPr id="9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481965" cy="481965"/>
                  <wp:effectExtent l="19050" t="0" r="0" b="0"/>
                  <wp:docPr id="100" name="Grafik 25"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3" cstate="print"/>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3555" cy="503555"/>
                  <wp:effectExtent l="19050" t="0" r="0" b="0"/>
                  <wp:docPr id="101"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4"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12B52" w:rsidRPr="00CD03BD" w:rsidRDefault="00D12B52" w:rsidP="00C33915">
            <w:pPr>
              <w:spacing w:after="0"/>
              <w:jc w:val="center"/>
            </w:pPr>
            <w:r>
              <w:rPr>
                <w:noProof/>
                <w:lang w:eastAsia="de-DE"/>
              </w:rPr>
              <w:drawing>
                <wp:inline distT="0" distB="0" distL="0" distR="0">
                  <wp:extent cx="501015" cy="501015"/>
                  <wp:effectExtent l="19050" t="0" r="0" b="0"/>
                  <wp:docPr id="10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r>
    </w:tbl>
    <w:p w:rsidR="00D12B52" w:rsidRPr="007F122F" w:rsidRDefault="00D12B52" w:rsidP="00D12B52">
      <w:pPr>
        <w:tabs>
          <w:tab w:val="left" w:pos="1701"/>
          <w:tab w:val="left" w:pos="1985"/>
        </w:tabs>
        <w:ind w:left="1980" w:hanging="1980"/>
        <w:rPr>
          <w:b/>
        </w:rPr>
      </w:pPr>
    </w:p>
    <w:p w:rsidR="00D12B52" w:rsidRDefault="00D12B52" w:rsidP="00D12B52">
      <w:pPr>
        <w:tabs>
          <w:tab w:val="left" w:pos="1701"/>
          <w:tab w:val="left" w:pos="1985"/>
        </w:tabs>
        <w:ind w:left="1980" w:hanging="1980"/>
      </w:pPr>
      <w:r>
        <w:t xml:space="preserve">Materialien: </w:t>
      </w:r>
      <w:r>
        <w:tab/>
      </w:r>
      <w:r>
        <w:tab/>
        <w:t xml:space="preserve">5 Petrischalen, 5 Filterpapiere, </w:t>
      </w:r>
      <w:proofErr w:type="spellStart"/>
      <w:r>
        <w:t>Erlenmeyerkolben</w:t>
      </w:r>
      <w:proofErr w:type="spellEnd"/>
      <w:r>
        <w:t xml:space="preserve"> (100 </w:t>
      </w:r>
      <w:proofErr w:type="spellStart"/>
      <w:r>
        <w:t>mL</w:t>
      </w:r>
      <w:proofErr w:type="spellEnd"/>
      <w:r>
        <w:t>), Trocke</w:t>
      </w:r>
      <w:r>
        <w:t>n</w:t>
      </w:r>
      <w:r>
        <w:t>schrank</w:t>
      </w:r>
    </w:p>
    <w:p w:rsidR="00D12B52" w:rsidRPr="00ED07C2" w:rsidRDefault="00D12B52" w:rsidP="00D12B52">
      <w:pPr>
        <w:tabs>
          <w:tab w:val="left" w:pos="1701"/>
          <w:tab w:val="left" w:pos="1985"/>
        </w:tabs>
        <w:ind w:left="1980" w:hanging="1980"/>
      </w:pPr>
      <w:r>
        <w:t>Chemikalien:</w:t>
      </w:r>
      <w:r>
        <w:tab/>
      </w:r>
      <w:r>
        <w:tab/>
        <w:t>Stärke, Kaliumiodid, Kaliumcarbonat, destilliertes Wasser</w:t>
      </w:r>
    </w:p>
    <w:p w:rsidR="00D12B52" w:rsidRDefault="00D12B52" w:rsidP="00D12B52">
      <w:pPr>
        <w:tabs>
          <w:tab w:val="left" w:pos="1701"/>
          <w:tab w:val="left" w:pos="1985"/>
        </w:tabs>
        <w:ind w:left="1980" w:hanging="1980"/>
      </w:pPr>
      <w:r>
        <w:t xml:space="preserve">Durchführung: </w:t>
      </w:r>
      <w:r>
        <w:tab/>
      </w:r>
      <w:r>
        <w:tab/>
        <w:t xml:space="preserve">50 </w:t>
      </w:r>
      <w:proofErr w:type="spellStart"/>
      <w:r>
        <w:t>mL</w:t>
      </w:r>
      <w:proofErr w:type="spellEnd"/>
      <w:r>
        <w:t xml:space="preserve"> destilliertes Wasser werden in einen </w:t>
      </w:r>
      <w:proofErr w:type="spellStart"/>
      <w:r>
        <w:t>Erlenmeyerkolben</w:t>
      </w:r>
      <w:proofErr w:type="spellEnd"/>
      <w:r>
        <w:t xml:space="preserve"> gegeben. 2,5 g Stärke, 0,5g Kaliumcarbonat und 5 g Kaliumiodid werden in dem desti</w:t>
      </w:r>
      <w:r>
        <w:t>l</w:t>
      </w:r>
      <w:r>
        <w:t>lierten Wasser gelöst. Alle 5 Filterpapiere werden in der Lösung in einer Petrischale getränkt und daraufhin im Trockenschrank bei 60°C getroc</w:t>
      </w:r>
      <w:r>
        <w:t>k</w:t>
      </w:r>
      <w:r>
        <w:t xml:space="preserve">net. Daraufhin werden die </w:t>
      </w:r>
      <w:proofErr w:type="gramStart"/>
      <w:r>
        <w:t>Filterpapier</w:t>
      </w:r>
      <w:proofErr w:type="gramEnd"/>
      <w:r>
        <w:t xml:space="preserve"> an fünf verschiedenen Orten verteilt (Bsp. draußen in der Sonne, draußen im Schatten, neben einem Kopierer, im Labor, im Seminarraum). Die Beobachtungen werden einen Tag später protokolliert. </w:t>
      </w: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D12B52" w:rsidTr="00C33915">
        <w:tc>
          <w:tcPr>
            <w:tcW w:w="7342" w:type="dxa"/>
          </w:tcPr>
          <w:p w:rsidR="00D12B52" w:rsidRDefault="00D12B52" w:rsidP="00C33915">
            <w:pPr>
              <w:keepNext/>
              <w:tabs>
                <w:tab w:val="left" w:pos="1701"/>
                <w:tab w:val="left" w:pos="1985"/>
              </w:tabs>
              <w:jc w:val="center"/>
            </w:pPr>
            <w:r>
              <w:rPr>
                <w:noProof/>
              </w:rPr>
              <w:lastRenderedPageBreak/>
              <w:drawing>
                <wp:inline distT="0" distB="0" distL="0" distR="0">
                  <wp:extent cx="2938836" cy="3124862"/>
                  <wp:effectExtent l="133350" t="76200" r="90114" b="75538"/>
                  <wp:docPr id="104" name="Bild 21" descr="D:\User\Jana\Göttingen - backup 28.07.2014\Master of Education\SVP\Protokolle\Protokoll 7&amp;8\Bilder\DSC04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ser\Jana\Göttingen - backup 28.07.2014\Master of Education\SVP\Protokolle\Protokoll 7&amp;8\Bilder\DSC04026.JPG"/>
                          <pic:cNvPicPr>
                            <a:picLocks noChangeAspect="1" noChangeArrowheads="1"/>
                          </pic:cNvPicPr>
                        </pic:nvPicPr>
                        <pic:blipFill>
                          <a:blip r:embed="rId16" cstate="print"/>
                          <a:srcRect/>
                          <a:stretch>
                            <a:fillRect/>
                          </a:stretch>
                        </pic:blipFill>
                        <pic:spPr bwMode="auto">
                          <a:xfrm>
                            <a:off x="0" y="0"/>
                            <a:ext cx="2938836" cy="31248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12B52" w:rsidRDefault="00D12B52" w:rsidP="00C33915">
            <w:pPr>
              <w:pStyle w:val="Beschriftung"/>
              <w:jc w:val="center"/>
            </w:pPr>
            <w:r>
              <w:t xml:space="preserve">Abbildung </w:t>
            </w:r>
            <w:fldSimple w:instr=" SEQ Abbildung \* ARABIC ">
              <w:r>
                <w:rPr>
                  <w:noProof/>
                </w:rPr>
                <w:t>11</w:t>
              </w:r>
            </w:fldSimple>
            <w:r>
              <w:t>: Versuchsaufbau für die Herstellung des Ozonpapiers.</w:t>
            </w:r>
          </w:p>
        </w:tc>
      </w:tr>
    </w:tbl>
    <w:p w:rsidR="00D12B52" w:rsidRDefault="00D12B52" w:rsidP="00D12B52">
      <w:pPr>
        <w:tabs>
          <w:tab w:val="left" w:pos="1701"/>
          <w:tab w:val="left" w:pos="1985"/>
        </w:tabs>
        <w:ind w:left="1980" w:hanging="1980"/>
      </w:pPr>
    </w:p>
    <w:p w:rsidR="00D12B52" w:rsidRDefault="00D12B52" w:rsidP="00D12B52">
      <w:pPr>
        <w:tabs>
          <w:tab w:val="left" w:pos="1701"/>
          <w:tab w:val="left" w:pos="1985"/>
        </w:tabs>
        <w:ind w:left="1980" w:hanging="1980"/>
      </w:pPr>
      <w:r>
        <w:t>Beobachtung:</w:t>
      </w:r>
      <w:r>
        <w:tab/>
      </w:r>
      <w:r>
        <w:tab/>
      </w:r>
      <w:r>
        <w:tab/>
        <w:t xml:space="preserve">Die Ozonpapiere haben sich in unterschiedlichen Maßen braun verfärbt. </w:t>
      </w:r>
      <w:r>
        <w:br/>
      </w: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D12B52" w:rsidTr="00C33915">
        <w:tc>
          <w:tcPr>
            <w:tcW w:w="7342" w:type="dxa"/>
          </w:tcPr>
          <w:p w:rsidR="00D12B52" w:rsidRDefault="00D12B52" w:rsidP="00C33915">
            <w:pPr>
              <w:keepNext/>
              <w:tabs>
                <w:tab w:val="left" w:pos="1701"/>
                <w:tab w:val="left" w:pos="1985"/>
              </w:tabs>
              <w:jc w:val="center"/>
            </w:pPr>
            <w:r>
              <w:rPr>
                <w:noProof/>
              </w:rPr>
              <w:drawing>
                <wp:inline distT="0" distB="0" distL="0" distR="0">
                  <wp:extent cx="3845284" cy="1426927"/>
                  <wp:effectExtent l="114300" t="76200" r="117116" b="78023"/>
                  <wp:docPr id="105" name="Bild 29" descr="D:\User\Jana\Göttingen - backup 28.07.2014\Master of Education\SVP\Protokolle\Protokoll 7&amp;8\Bilder\DSC04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User\Jana\Göttingen - backup 28.07.2014\Master of Education\SVP\Protokolle\Protokoll 7&amp;8\Bilder\DSC04064.JPG"/>
                          <pic:cNvPicPr>
                            <a:picLocks noChangeAspect="1" noChangeArrowheads="1"/>
                          </pic:cNvPicPr>
                        </pic:nvPicPr>
                        <pic:blipFill>
                          <a:blip r:embed="rId17" cstate="print"/>
                          <a:srcRect/>
                          <a:stretch>
                            <a:fillRect/>
                          </a:stretch>
                        </pic:blipFill>
                        <pic:spPr bwMode="auto">
                          <a:xfrm>
                            <a:off x="0" y="0"/>
                            <a:ext cx="3845292" cy="1426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12B52" w:rsidRDefault="00D12B52" w:rsidP="00C33915">
            <w:pPr>
              <w:pStyle w:val="Beschriftung"/>
              <w:jc w:val="center"/>
            </w:pPr>
            <w:r>
              <w:t xml:space="preserve">Abbildung </w:t>
            </w:r>
            <w:fldSimple w:instr=" SEQ Abbildung \* ARABIC ">
              <w:r>
                <w:rPr>
                  <w:noProof/>
                </w:rPr>
                <w:t>12</w:t>
              </w:r>
            </w:fldSimple>
            <w:r>
              <w:t>: Die Ozonpapiere nach 24 Stunden. Von links nach rechts: im Seminarraum, im Lampenlicht, neben dem Kopierer, im Labor, im Sonnenlicht.</w:t>
            </w:r>
          </w:p>
          <w:p w:rsidR="00D12B52" w:rsidRPr="007B2415" w:rsidRDefault="00D12B52" w:rsidP="00C33915"/>
        </w:tc>
      </w:tr>
    </w:tbl>
    <w:p w:rsidR="00D12B52" w:rsidRDefault="00D12B52" w:rsidP="00D12B52">
      <w:pPr>
        <w:tabs>
          <w:tab w:val="left" w:pos="1701"/>
          <w:tab w:val="left" w:pos="1985"/>
        </w:tabs>
        <w:ind w:left="1928" w:hanging="1928"/>
      </w:pPr>
      <w:r>
        <w:t>Deutung:</w:t>
      </w:r>
      <w:r>
        <w:tab/>
      </w:r>
      <w:r>
        <w:tab/>
        <w:t>Je dunkler die Verfärbung des Ozonpapiers, desto höher die Ozonkonzen</w:t>
      </w:r>
      <w:r>
        <w:t>t</w:t>
      </w:r>
      <w:r>
        <w:t>ration an der Stelle. Die niedrigste Ozonkonzentration wird im Semina</w:t>
      </w:r>
      <w:r>
        <w:t>r</w:t>
      </w:r>
      <w:r>
        <w:t>raum gemessen, da dort keine Ozonquellen vorhanden sind. Im Lampenlicht ist die Konzentration höher, da bodennahe Ozonbildung durch Wärme g</w:t>
      </w:r>
      <w:r>
        <w:t>e</w:t>
      </w:r>
      <w:r>
        <w:t>bildet wird. Neben dem Kopierer ist die Ozonkonzentration noch höher, da beim Kopieren Ozon entsteht. Im Labor entstehen noch höhere Ozonko</w:t>
      </w:r>
      <w:r>
        <w:t>n</w:t>
      </w:r>
      <w:r>
        <w:t xml:space="preserve">zentrationen und am höchsten ist die Konzentration im Sonnenlicht, da Sonnenlicht die Ozonproduktion katalysiert. </w:t>
      </w:r>
    </w:p>
    <w:p w:rsidR="00D12B52" w:rsidRDefault="00D12B52" w:rsidP="00D12B52">
      <w:pPr>
        <w:tabs>
          <w:tab w:val="left" w:pos="1701"/>
          <w:tab w:val="left" w:pos="1985"/>
        </w:tabs>
        <w:ind w:left="1928" w:hanging="1928"/>
      </w:pPr>
      <w:r>
        <w:lastRenderedPageBreak/>
        <w:t>Entsorgung:</w:t>
      </w:r>
      <w:r>
        <w:tab/>
      </w:r>
      <w:r>
        <w:tab/>
        <w:t xml:space="preserve">Die Lösung zur Herstellung von Ozonpapieren kann in den Abfluss gegeben werden. Die Ozonpapiere können in den Hausabfall entsorgt werden. </w:t>
      </w:r>
    </w:p>
    <w:p w:rsidR="00D12B52" w:rsidRDefault="00D12B52" w:rsidP="00D12B52">
      <w:pPr>
        <w:tabs>
          <w:tab w:val="left" w:pos="1701"/>
          <w:tab w:val="left" w:pos="1985"/>
        </w:tabs>
        <w:ind w:left="1928" w:hanging="1928"/>
        <w:rPr>
          <w:rFonts w:cs="Cambria"/>
          <w:lang w:eastAsia="de-DE"/>
        </w:rPr>
      </w:pPr>
      <w:r>
        <w:t>Literatur:</w:t>
      </w:r>
      <w:r>
        <w:tab/>
      </w:r>
      <w:r>
        <w:tab/>
        <w:t xml:space="preserve">[1] </w:t>
      </w:r>
      <w:r>
        <w:rPr>
          <w:rFonts w:cs="Cambria"/>
          <w:lang w:eastAsia="de-DE"/>
        </w:rPr>
        <w:t xml:space="preserve">H. </w:t>
      </w:r>
      <w:proofErr w:type="spellStart"/>
      <w:r>
        <w:rPr>
          <w:rFonts w:cs="Cambria"/>
          <w:lang w:eastAsia="de-DE"/>
        </w:rPr>
        <w:t>Böhland</w:t>
      </w:r>
      <w:proofErr w:type="spellEnd"/>
      <w:r>
        <w:rPr>
          <w:rFonts w:cs="Cambria"/>
          <w:lang w:eastAsia="de-DE"/>
        </w:rPr>
        <w:t xml:space="preserve"> et al., Chemische Schulexperimente – Band 3 – Allgemeine, physikalische und analytische Chemie – Chemie und Umwelt, Volk und Wi</w:t>
      </w:r>
      <w:r>
        <w:rPr>
          <w:rFonts w:cs="Cambria"/>
          <w:lang w:eastAsia="de-DE"/>
        </w:rPr>
        <w:t>s</w:t>
      </w:r>
      <w:r>
        <w:rPr>
          <w:rFonts w:cs="Cambria"/>
          <w:lang w:eastAsia="de-DE"/>
        </w:rPr>
        <w:t>sen, 2002</w:t>
      </w:r>
      <w:r>
        <w:rPr>
          <w:rFonts w:cs="Cambria"/>
          <w:color w:val="000000"/>
          <w:lang w:eastAsia="de-DE"/>
        </w:rPr>
        <w:t>, S. 279</w:t>
      </w:r>
      <w:r>
        <w:rPr>
          <w:rFonts w:cs="Cambria"/>
          <w:lang w:eastAsia="de-DE"/>
        </w:rPr>
        <w:t>.</w:t>
      </w:r>
    </w:p>
    <w:p w:rsidR="00D12B52" w:rsidRPr="00DB7F77" w:rsidRDefault="00D12B52" w:rsidP="00D12B52">
      <w:pPr>
        <w:tabs>
          <w:tab w:val="left" w:pos="1701"/>
          <w:tab w:val="left" w:pos="1985"/>
        </w:tabs>
        <w:ind w:left="1928" w:hanging="1928"/>
        <w:rPr>
          <w:rFonts w:cs="Cambria"/>
          <w:lang w:eastAsia="de-DE"/>
        </w:rPr>
      </w:pPr>
      <w:r>
        <w:rPr>
          <w:rFonts w:cs="Cambria"/>
          <w:lang w:eastAsia="de-DE"/>
        </w:rPr>
        <w:tab/>
      </w:r>
      <w:r>
        <w:rPr>
          <w:rFonts w:cs="Cambria"/>
          <w:lang w:eastAsia="de-DE"/>
        </w:rPr>
        <w:tab/>
        <w:t xml:space="preserve">[2] C.M. </w:t>
      </w:r>
      <w:proofErr w:type="spellStart"/>
      <w:r>
        <w:rPr>
          <w:rFonts w:cs="Cambria"/>
          <w:lang w:eastAsia="de-DE"/>
        </w:rPr>
        <w:t>Erbar</w:t>
      </w:r>
      <w:proofErr w:type="spellEnd"/>
      <w:r>
        <w:rPr>
          <w:rFonts w:cs="Cambria"/>
          <w:lang w:eastAsia="de-DE"/>
        </w:rPr>
        <w:t xml:space="preserve">, Das Thema „Luft“ im Chemieunterricht, </w:t>
      </w:r>
      <w:r>
        <w:rPr>
          <w:rFonts w:cs="Cambria"/>
          <w:lang w:eastAsia="de-DE"/>
        </w:rPr>
        <w:br/>
      </w:r>
      <w:r w:rsidRPr="007B2415">
        <w:t>http://www.chids.de/dachs/wiss_hausarbeiten/Luft_Erbar.pdf</w:t>
      </w:r>
      <w:r>
        <w:t xml:space="preserve">, (Zuletzt zugegriffen am 10.08.2014 um 16:09 Uhr). </w:t>
      </w:r>
    </w:p>
    <w:bookmarkStart w:id="1" w:name="_Toc395715271"/>
    <w:bookmarkStart w:id="2" w:name="_Toc396152616"/>
    <w:bookmarkEnd w:id="1"/>
    <w:bookmarkEnd w:id="2"/>
    <w:p w:rsidR="006B513F" w:rsidRPr="00D12B52" w:rsidRDefault="00D12B52" w:rsidP="00D12B52">
      <w:r>
        <w:pict>
          <v:shape id="_x0000_s1040" type="#_x0000_t202" style="width:462.45pt;height:163.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40">
              <w:txbxContent>
                <w:p w:rsidR="00D12B52" w:rsidRPr="00CD03BD" w:rsidRDefault="00D12B52" w:rsidP="00D12B52">
                  <w:pPr>
                    <w:rPr>
                      <w:color w:val="1F497D"/>
                    </w:rPr>
                  </w:pPr>
                  <w:r w:rsidRPr="00CD03BD">
                    <w:rPr>
                      <w:b/>
                      <w:color w:val="1F497D"/>
                    </w:rPr>
                    <w:t>Unterrichtsanschlüsse</w:t>
                  </w:r>
                  <w:r>
                    <w:rPr>
                      <w:b/>
                      <w:color w:val="1F497D"/>
                    </w:rPr>
                    <w:t xml:space="preserve"> </w:t>
                  </w:r>
                  <w:r>
                    <w:rPr>
                      <w:color w:val="auto"/>
                    </w:rPr>
                    <w:t>Dieser Versuch bietet sich als Einführung in bodennahes Ozon oder als Ergänzung zu Smog an, um die Konzentration von Ozon in Bodennähe qualitativ zu unters</w:t>
                  </w:r>
                  <w:r>
                    <w:rPr>
                      <w:color w:val="auto"/>
                    </w:rPr>
                    <w:t>u</w:t>
                  </w:r>
                  <w:r>
                    <w:rPr>
                      <w:color w:val="auto"/>
                    </w:rPr>
                    <w:t xml:space="preserve">chen. Die Herstellung des Ozonpapiers kann von </w:t>
                  </w:r>
                  <w:proofErr w:type="spellStart"/>
                  <w:r>
                    <w:rPr>
                      <w:color w:val="auto"/>
                    </w:rPr>
                    <w:t>SuS</w:t>
                  </w:r>
                  <w:proofErr w:type="spellEnd"/>
                  <w:r>
                    <w:rPr>
                      <w:color w:val="auto"/>
                    </w:rPr>
                    <w:t xml:space="preserve"> durchgeführt werden, solange diese vo</w:t>
                  </w:r>
                  <w:r>
                    <w:rPr>
                      <w:color w:val="auto"/>
                    </w:rPr>
                    <w:t>r</w:t>
                  </w:r>
                  <w:r>
                    <w:rPr>
                      <w:color w:val="auto"/>
                    </w:rPr>
                    <w:t xml:space="preserve">sichtig mit dem Gefahrenstoff Kaliumcarbonat umgehen. Die Messung der Konzentration des giftigen und ätzenden Ozons geschieht in der Abwesenheit der </w:t>
                  </w:r>
                  <w:proofErr w:type="spellStart"/>
                  <w:r>
                    <w:rPr>
                      <w:color w:val="auto"/>
                    </w:rPr>
                    <w:t>SuS</w:t>
                  </w:r>
                  <w:proofErr w:type="spellEnd"/>
                  <w:r>
                    <w:rPr>
                      <w:color w:val="auto"/>
                    </w:rPr>
                    <w:t>, weshalb dies unproblem</w:t>
                  </w:r>
                  <w:r>
                    <w:rPr>
                      <w:color w:val="auto"/>
                    </w:rPr>
                    <w:t>a</w:t>
                  </w:r>
                  <w:r>
                    <w:rPr>
                      <w:color w:val="auto"/>
                    </w:rPr>
                    <w:t xml:space="preserve">tisch ist.  Der quantitative </w:t>
                  </w:r>
                  <w:proofErr w:type="spellStart"/>
                  <w:r>
                    <w:rPr>
                      <w:color w:val="auto"/>
                    </w:rPr>
                    <w:t>Ozontest</w:t>
                  </w:r>
                  <w:proofErr w:type="spellEnd"/>
                  <w:r>
                    <w:rPr>
                      <w:color w:val="auto"/>
                    </w:rPr>
                    <w:t xml:space="preserve"> kann auch mit </w:t>
                  </w:r>
                  <w:proofErr w:type="spellStart"/>
                  <w:r>
                    <w:rPr>
                      <w:color w:val="auto"/>
                    </w:rPr>
                    <w:t>Kaliumiodidpulver</w:t>
                  </w:r>
                  <w:proofErr w:type="spellEnd"/>
                  <w:r>
                    <w:rPr>
                      <w:color w:val="auto"/>
                    </w:rPr>
                    <w:t xml:space="preserve"> bestrichenen Kartoffe</w:t>
                  </w:r>
                  <w:r>
                    <w:rPr>
                      <w:color w:val="auto"/>
                    </w:rPr>
                    <w:t>l</w:t>
                  </w:r>
                  <w:r>
                    <w:rPr>
                      <w:color w:val="auto"/>
                    </w:rPr>
                    <w:t>scheiben durchgeführt werden. Alternativ können Ozonteststäbchen im Internet gekauft we</w:t>
                  </w:r>
                  <w:r>
                    <w:rPr>
                      <w:color w:val="auto"/>
                    </w:rPr>
                    <w:t>r</w:t>
                  </w:r>
                  <w:r>
                    <w:rPr>
                      <w:color w:val="auto"/>
                    </w:rPr>
                    <w:t xml:space="preserve">den. Es ist jedoch eindrucksvoller für </w:t>
                  </w:r>
                  <w:proofErr w:type="spellStart"/>
                  <w:r>
                    <w:rPr>
                      <w:color w:val="auto"/>
                    </w:rPr>
                    <w:t>SuS</w:t>
                  </w:r>
                  <w:proofErr w:type="spellEnd"/>
                  <w:r>
                    <w:rPr>
                      <w:color w:val="auto"/>
                    </w:rPr>
                    <w:t xml:space="preserve"> die Testpapiere selbst herzustellen. </w:t>
                  </w:r>
                </w:p>
              </w:txbxContent>
            </v:textbox>
            <w10:wrap type="none"/>
            <w10:anchorlock/>
          </v:shape>
        </w:pict>
      </w:r>
    </w:p>
    <w:sectPr w:rsidR="006B513F" w:rsidRPr="00D12B52" w:rsidSect="00651503">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DBD" w:rsidRDefault="00924DBD" w:rsidP="00EC3514">
      <w:pPr>
        <w:spacing w:after="0" w:line="240" w:lineRule="auto"/>
      </w:pPr>
      <w:r>
        <w:separator/>
      </w:r>
    </w:p>
  </w:endnote>
  <w:endnote w:type="continuationSeparator" w:id="0">
    <w:p w:rsidR="00924DBD" w:rsidRDefault="00924DBD"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DBD" w:rsidRDefault="00924DBD" w:rsidP="00EC3514">
      <w:pPr>
        <w:spacing w:after="0" w:line="240" w:lineRule="auto"/>
      </w:pPr>
      <w:r>
        <w:separator/>
      </w:r>
    </w:p>
  </w:footnote>
  <w:footnote w:type="continuationSeparator" w:id="0">
    <w:p w:rsidR="00924DBD" w:rsidRDefault="00924DBD"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D12B52">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F413F"/>
    <w:rsid w:val="00601DD6"/>
    <w:rsid w:val="00651503"/>
    <w:rsid w:val="006B513F"/>
    <w:rsid w:val="00924DBD"/>
    <w:rsid w:val="00A0189E"/>
    <w:rsid w:val="00B5741E"/>
    <w:rsid w:val="00D12B52"/>
    <w:rsid w:val="00D57F5D"/>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A12E45"/>
    <w:rsid w:val="00F839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1989</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2014-08-26T19:19:00Z</cp:lastPrinted>
  <dcterms:created xsi:type="dcterms:W3CDTF">2014-08-26T19:20:00Z</dcterms:created>
  <dcterms:modified xsi:type="dcterms:W3CDTF">2014-08-26T19:20:00Z</dcterms:modified>
</cp:coreProperties>
</file>