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7F" w:rsidRDefault="00526A8F" w:rsidP="0077497F">
      <w:pPr>
        <w:pStyle w:val="berschrift2"/>
        <w:numPr>
          <w:ilvl w:val="0"/>
          <w:numId w:val="0"/>
        </w:numPr>
        <w:ind w:left="57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30" type="#_x0000_t202" style="position:absolute;left:0;text-align:left;margin-left:-.05pt;margin-top:41.9pt;width:462.45pt;height:53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77497F" w:rsidRPr="00595999" w:rsidRDefault="0077497F" w:rsidP="0077497F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Dieser Versuch dient erneut dem Nachweis von </w:t>
                  </w:r>
                  <w:r w:rsidRPr="00E42BF8">
                    <w:rPr>
                      <w:color w:val="1F497D"/>
                    </w:rPr>
                    <w:t>Kohlenstoffdioxid</w:t>
                  </w:r>
                  <w:r>
                    <w:rPr>
                      <w:color w:val="1F497D"/>
                    </w:rPr>
                    <w:t xml:space="preserve"> mit Hilfe einer Kalkwasserlösung. Die zu untersuchende Probe stellt sprudelndes Mineralwasser da.</w:t>
                  </w:r>
                </w:p>
              </w:txbxContent>
            </v:textbox>
            <w10:wrap type="square"/>
          </v:shape>
        </w:pict>
      </w:r>
      <w:bookmarkStart w:id="0" w:name="_Toc396504731"/>
      <w:r w:rsidR="0077497F">
        <w:t xml:space="preserve">V 5 – </w:t>
      </w:r>
      <w:r w:rsidR="00555233">
        <w:t>Kohlenstoffdioxid</w:t>
      </w:r>
      <w:r w:rsidR="0077497F">
        <w:t>-Nachweis in Mineralwasser</w:t>
      </w:r>
      <w:bookmarkEnd w:id="0"/>
    </w:p>
    <w:p w:rsidR="0077497F" w:rsidRDefault="0077497F" w:rsidP="0077497F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7497F" w:rsidRPr="00CD03BD" w:rsidTr="00DC7303">
        <w:tc>
          <w:tcPr>
            <w:tcW w:w="9322" w:type="dxa"/>
            <w:gridSpan w:val="9"/>
            <w:shd w:val="clear" w:color="auto" w:fill="4F81BD"/>
            <w:vAlign w:val="center"/>
          </w:tcPr>
          <w:p w:rsidR="0077497F" w:rsidRPr="00CD03BD" w:rsidRDefault="0077497F" w:rsidP="00DC7303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77497F" w:rsidRPr="00CD03BD" w:rsidTr="00DC7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3527DF" w:rsidRDefault="0077497F" w:rsidP="00DC7303">
            <w:pPr>
              <w:spacing w:after="0" w:line="276" w:lineRule="auto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3527DF">
                <w:rPr>
                  <w:sz w:val="20"/>
                </w:rPr>
                <w:t>280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497F" w:rsidRPr="003527DF" w:rsidRDefault="0077497F" w:rsidP="00DC7303">
            <w:pPr>
              <w:spacing w:after="0" w:line="276" w:lineRule="auto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P: </w:t>
            </w:r>
            <w:hyperlink r:id="rId6" w:anchor="P-S.C3.A4tze" w:tooltip="H- und P-Sätze" w:history="1">
              <w:r w:rsidRPr="003527DF">
                <w:rPr>
                  <w:sz w:val="20"/>
                </w:rPr>
                <w:t>410+403</w:t>
              </w:r>
            </w:hyperlink>
          </w:p>
        </w:tc>
      </w:tr>
      <w:tr w:rsidR="0077497F" w:rsidRPr="00CD03BD" w:rsidTr="00DC7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Default="0077497F" w:rsidP="00DC7303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(OH)</w:t>
            </w:r>
            <w:r w:rsidRPr="000307BE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 315,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P: 280, 305</w:t>
            </w:r>
            <w:r w:rsidRPr="000307BE">
              <w:rPr>
                <w:sz w:val="20"/>
              </w:rPr>
              <w:t>+</w:t>
            </w:r>
            <w:r>
              <w:rPr>
                <w:sz w:val="20"/>
              </w:rPr>
              <w:t>351</w:t>
            </w:r>
            <w:r w:rsidRPr="000307BE">
              <w:rPr>
                <w:sz w:val="20"/>
              </w:rPr>
              <w:t>+</w:t>
            </w:r>
            <w:r>
              <w:rPr>
                <w:sz w:val="20"/>
              </w:rPr>
              <w:t>338</w:t>
            </w:r>
          </w:p>
        </w:tc>
      </w:tr>
      <w:tr w:rsidR="0077497F" w:rsidRPr="00CD03BD" w:rsidTr="00DC7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1" name="Bild 191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4670" cy="534670"/>
                  <wp:effectExtent l="19050" t="0" r="0" b="0"/>
                  <wp:docPr id="195" name="Bild 195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8" name="Bild 198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497F" w:rsidRPr="00CD03BD" w:rsidRDefault="0077497F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97F" w:rsidRDefault="0077497F" w:rsidP="0077497F">
      <w:pPr>
        <w:tabs>
          <w:tab w:val="left" w:pos="1701"/>
          <w:tab w:val="left" w:pos="1985"/>
        </w:tabs>
        <w:ind w:left="1980" w:hanging="1980"/>
      </w:pPr>
    </w:p>
    <w:p w:rsidR="0077497F" w:rsidRDefault="0077497F" w:rsidP="0077497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Waschflasche, Reagenzglas, durchbohrter Stopfen, Glasrohr, Stativ, Klammer, Schlauch</w:t>
      </w:r>
    </w:p>
    <w:p w:rsidR="0077497F" w:rsidRDefault="0077497F" w:rsidP="0077497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373380</wp:posOffset>
            </wp:positionV>
            <wp:extent cx="2191385" cy="3166110"/>
            <wp:effectExtent l="19050" t="0" r="0" b="0"/>
            <wp:wrapTopAndBottom/>
            <wp:docPr id="12" name="Bild 8" descr="DSCN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80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Chemikalien:</w:t>
      </w:r>
      <w:r>
        <w:tab/>
      </w:r>
      <w:r>
        <w:tab/>
        <w:t xml:space="preserve">gesättigte </w:t>
      </w:r>
      <w:proofErr w:type="spellStart"/>
      <w:r>
        <w:t>Calciumhydroxid</w:t>
      </w:r>
      <w:proofErr w:type="spellEnd"/>
      <w:r>
        <w:t>-Lösung, sprudelndes Mineralwasser</w:t>
      </w:r>
    </w:p>
    <w:p w:rsidR="0077497F" w:rsidRPr="00ED07C2" w:rsidRDefault="00526A8F" w:rsidP="0077497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33" type="#_x0000_t202" style="position:absolute;left:0;text-align:left;margin-left:116.4pt;margin-top:249.4pt;width:336.15pt;height:21pt;z-index:251663360;mso-width-relative:margin;mso-height-relative:margin" strokecolor="white">
            <v:textbox style="mso-next-textbox:#_x0000_s1033">
              <w:txbxContent>
                <w:p w:rsidR="0077497F" w:rsidRDefault="0077497F" w:rsidP="0077497F">
                  <w:pPr>
                    <w:pStyle w:val="Beschriftung"/>
                    <w:jc w:val="left"/>
                  </w:pPr>
                  <w:r>
                    <w:t xml:space="preserve">Abb. 8 - </w:t>
                  </w:r>
                  <w:r>
                    <w:rPr>
                      <w:noProof/>
                    </w:rPr>
                    <w:t xml:space="preserve"> Versuchsaufbau „Kohlenstoffdioxid-Nachweis in Mineralwasser“.</w:t>
                  </w:r>
                </w:p>
                <w:p w:rsidR="0077497F" w:rsidRDefault="0077497F" w:rsidP="0077497F"/>
              </w:txbxContent>
            </v:textbox>
          </v:shape>
        </w:pict>
      </w:r>
    </w:p>
    <w:p w:rsidR="0077497F" w:rsidRDefault="0077497F" w:rsidP="0077497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Der Versuchsaufbau erfolgt analog zu dem von V3. Das Reagenzglas wird anschließend bis ca. die Hälfte mit sprudelndem Mineralwasser befüllt und schnell wieder verschlossen.</w:t>
      </w:r>
    </w:p>
    <w:p w:rsidR="0077497F" w:rsidRDefault="0077497F" w:rsidP="0077497F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>Im Reagenzglas lässt sich eine Gasentwicklung beobachten, in der Waschflasche wird das vorher klare Kalkwasser trüb.</w:t>
      </w:r>
    </w:p>
    <w:p w:rsidR="0077497F" w:rsidRDefault="00526A8F" w:rsidP="0077497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31" type="#_x0000_t202" style="position:absolute;left:0;text-align:left;margin-left:146.55pt;margin-top:256.6pt;width:175.25pt;height:21pt;z-index:251661312;mso-width-relative:margin;mso-height-relative:margin" strokecolor="white">
            <v:textbox>
              <w:txbxContent>
                <w:p w:rsidR="0077497F" w:rsidRDefault="0077497F" w:rsidP="0077497F">
                  <w:pPr>
                    <w:pStyle w:val="Beschriftung"/>
                    <w:jc w:val="left"/>
                  </w:pPr>
                  <w:r>
                    <w:t xml:space="preserve">Abb. 9 - </w:t>
                  </w:r>
                  <w:r>
                    <w:rPr>
                      <w:noProof/>
                    </w:rPr>
                    <w:t xml:space="preserve"> Trübes Kalkwasser.</w:t>
                  </w:r>
                </w:p>
                <w:p w:rsidR="0077497F" w:rsidRDefault="0077497F" w:rsidP="0077497F"/>
              </w:txbxContent>
            </v:textbox>
          </v:shape>
        </w:pict>
      </w:r>
      <w:r w:rsidR="0077497F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6350</wp:posOffset>
            </wp:positionV>
            <wp:extent cx="2225675" cy="3252470"/>
            <wp:effectExtent l="19050" t="0" r="3175" b="0"/>
            <wp:wrapTopAndBottom/>
            <wp:docPr id="11" name="Bild 10" descr="DSCN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80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97F" w:rsidRDefault="0077497F" w:rsidP="0077497F">
      <w:pPr>
        <w:ind w:left="1980" w:hanging="1980"/>
      </w:pPr>
      <w:r>
        <w:t>Deutung:</w:t>
      </w:r>
      <w:r>
        <w:tab/>
        <w:t xml:space="preserve">Das </w:t>
      </w:r>
      <w:r w:rsidR="00555233">
        <w:t>Kohlenstoffdioxid</w:t>
      </w:r>
      <w:r>
        <w:rPr>
          <w:vertAlign w:val="subscript"/>
        </w:rPr>
        <w:t xml:space="preserve"> </w:t>
      </w:r>
      <w:r>
        <w:t>aus dem Mineralwasser reagiert in einer chemischen Reaktion zu schwerlöslichem Calciumcarbonat, das wiederum ausfällt:</w:t>
      </w:r>
    </w:p>
    <w:p w:rsidR="0077497F" w:rsidRPr="007D5975" w:rsidRDefault="0077497F" w:rsidP="0077497F">
      <w:pPr>
        <w:ind w:left="1980"/>
        <w:rPr>
          <w:lang w:val="en-US"/>
        </w:rPr>
      </w:pPr>
      <w:proofErr w:type="gramStart"/>
      <w:r w:rsidRPr="007D5975">
        <w:rPr>
          <w:lang w:val="en-US"/>
        </w:rPr>
        <w:t>CO</w:t>
      </w:r>
      <w:r w:rsidRPr="007D5975">
        <w:rPr>
          <w:vertAlign w:val="subscript"/>
          <w:lang w:val="en-US"/>
        </w:rPr>
        <w:t>2(</w:t>
      </w:r>
      <w:proofErr w:type="gramEnd"/>
      <w:r w:rsidRPr="007D5975">
        <w:rPr>
          <w:vertAlign w:val="subscript"/>
          <w:lang w:val="en-US"/>
        </w:rPr>
        <w:t xml:space="preserve">g) </w:t>
      </w:r>
      <w:r w:rsidRPr="007D5975">
        <w:rPr>
          <w:lang w:val="en-US"/>
        </w:rPr>
        <w:t>+ Ca(OH)</w:t>
      </w:r>
      <w:r w:rsidRPr="007D5975">
        <w:rPr>
          <w:vertAlign w:val="subscript"/>
          <w:lang w:val="en-US"/>
        </w:rPr>
        <w:t>2(</w:t>
      </w:r>
      <w:proofErr w:type="spellStart"/>
      <w:r w:rsidRPr="007D5975">
        <w:rPr>
          <w:vertAlign w:val="subscript"/>
          <w:lang w:val="en-US"/>
        </w:rPr>
        <w:t>aq</w:t>
      </w:r>
      <w:proofErr w:type="spellEnd"/>
      <w:r w:rsidRPr="007D5975">
        <w:rPr>
          <w:vertAlign w:val="subscript"/>
          <w:lang w:val="en-US"/>
        </w:rPr>
        <w:t>)</w:t>
      </w:r>
      <w:r w:rsidRPr="007D5975">
        <w:rPr>
          <w:lang w:val="en-US"/>
        </w:rPr>
        <w:t xml:space="preserve"> →CaCO</w:t>
      </w:r>
      <w:r w:rsidRPr="007D5975">
        <w:rPr>
          <w:vertAlign w:val="subscript"/>
          <w:lang w:val="en-US"/>
        </w:rPr>
        <w:t xml:space="preserve">3(S) </w:t>
      </w:r>
      <w:r w:rsidRPr="007D5975">
        <w:rPr>
          <w:lang w:val="en-US"/>
        </w:rPr>
        <w:t>+H</w:t>
      </w:r>
      <w:r w:rsidRPr="007D5975">
        <w:rPr>
          <w:vertAlign w:val="subscript"/>
          <w:lang w:val="en-US"/>
        </w:rPr>
        <w:t>2</w:t>
      </w:r>
      <w:r w:rsidRPr="007D5975">
        <w:rPr>
          <w:lang w:val="en-US"/>
        </w:rPr>
        <w:t>O</w:t>
      </w:r>
      <w:r w:rsidRPr="007D5975">
        <w:rPr>
          <w:vertAlign w:val="subscript"/>
          <w:lang w:val="en-US"/>
        </w:rPr>
        <w:t>(l)</w:t>
      </w:r>
      <w:r w:rsidR="00526A8F" w:rsidRPr="007D5975">
        <w:rPr>
          <w:rFonts w:eastAsia="Times New Roman"/>
        </w:rPr>
        <w:fldChar w:fldCharType="begin"/>
      </w:r>
      <w:r w:rsidRPr="007D5975">
        <w:rPr>
          <w:rFonts w:eastAsia="Times New Roman"/>
          <w:lang w:val="en-US"/>
        </w:rPr>
        <w:instrText xml:space="preserve"> QUOTE </w:instrTex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aq</m:t>
            </m:r>
          </m:e>
        </m:d>
        <m:r>
          <w:rPr>
            <w:rFonts w:ascii="Cambria Math" w:hAnsi="Cambria Math"/>
            <w:lang w:val="en-US"/>
          </w:rPr>
          <m:t>→</m:t>
        </m:r>
        <m:r>
          <w:rPr>
            <w:rFonts w:ascii="Cambria Math" w:hAnsi="Cambria Math"/>
          </w:rPr>
          <m:t>CaC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 xml:space="preserve"> (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  <w:lang w:val="en-US"/>
          </w:rPr>
          <m:t>)</m:t>
        </m:r>
      </m:oMath>
      <w:r w:rsidRPr="007D5975">
        <w:rPr>
          <w:rFonts w:eastAsia="Times New Roman"/>
          <w:lang w:val="en-US"/>
        </w:rPr>
        <w:instrText xml:space="preserve"> </w:instrText>
      </w:r>
      <w:r w:rsidR="00526A8F" w:rsidRPr="007D5975">
        <w:rPr>
          <w:rFonts w:eastAsia="Times New Roman"/>
        </w:rPr>
        <w:fldChar w:fldCharType="end"/>
      </w:r>
      <w:r w:rsidRPr="007D5975">
        <w:rPr>
          <w:rFonts w:eastAsia="Times New Roman"/>
          <w:lang w:val="en-US"/>
        </w:rPr>
        <w:t>.</w:t>
      </w:r>
    </w:p>
    <w:p w:rsidR="0077497F" w:rsidRPr="00FC4D26" w:rsidRDefault="0077497F" w:rsidP="0077497F">
      <w:pPr>
        <w:tabs>
          <w:tab w:val="left" w:pos="1985"/>
        </w:tabs>
        <w:ind w:left="1695" w:hanging="1695"/>
      </w:pPr>
      <w:r>
        <w:t>Entsorgung:</w:t>
      </w:r>
      <w:r>
        <w:tab/>
      </w:r>
      <w:r>
        <w:tab/>
        <w:t>Kalkwasserlösung in den Säure-Base-Abfall geben,</w:t>
      </w:r>
      <w:r w:rsidRPr="007D5975">
        <w:t xml:space="preserve"> </w:t>
      </w:r>
      <w:r>
        <w:t xml:space="preserve">Brausetablette-Lösung </w:t>
      </w:r>
      <w:r>
        <w:tab/>
        <w:t>in den Ausguss schütten.</w:t>
      </w:r>
    </w:p>
    <w:p w:rsidR="0077497F" w:rsidRPr="00CD03BD" w:rsidRDefault="0077497F" w:rsidP="0077497F">
      <w:pPr>
        <w:spacing w:line="276" w:lineRule="auto"/>
        <w:ind w:left="1985" w:hanging="1985"/>
        <w:jc w:val="left"/>
      </w:pPr>
      <w:r>
        <w:t>Literatur:</w:t>
      </w:r>
      <w:r>
        <w:tab/>
      </w:r>
      <w:r>
        <w:rPr>
          <w:noProof/>
        </w:rPr>
        <w:t xml:space="preserve">Schmidkunz, H. (2011). </w:t>
      </w:r>
      <w:r>
        <w:rPr>
          <w:i/>
          <w:iCs/>
          <w:noProof/>
        </w:rPr>
        <w:t>Chemische Freihandversuche Band 1.</w:t>
      </w:r>
      <w:r>
        <w:rPr>
          <w:noProof/>
        </w:rPr>
        <w:t xml:space="preserve"> Hallbergmoos: Aulis-Verlag., </w:t>
      </w:r>
      <w:r w:rsidRPr="00600433">
        <w:rPr>
          <w:color w:val="auto"/>
        </w:rPr>
        <w:t>S. 232.</w:t>
      </w:r>
    </w:p>
    <w:p w:rsidR="0077497F" w:rsidRPr="00CD03BD" w:rsidRDefault="00526A8F" w:rsidP="0077497F">
      <w:pPr>
        <w:spacing w:line="276" w:lineRule="auto"/>
        <w:jc w:val="left"/>
        <w:rPr>
          <w:rFonts w:eastAsia="MS Gothic"/>
          <w:b/>
          <w:bCs/>
          <w:sz w:val="28"/>
          <w:szCs w:val="28"/>
        </w:rPr>
      </w:pPr>
      <w:r w:rsidRPr="00526A8F">
        <w:pict>
          <v:shape id="Text Box 131" o:spid="_x0000_s1034" type="#_x0000_t202" style="width:462.45pt;height:6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77497F" w:rsidRPr="000C7C2C" w:rsidRDefault="0077497F" w:rsidP="0077497F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Dieser effektstarke und zeiteffiziente Versuch kann zusammen mit V3 und V4 in einer Unterrichtsstunde durchgeführt werden, um den SuS verschiedene Kohlenstoffdioxid-Quellen zu demonstrieren.</w:t>
                  </w:r>
                </w:p>
                <w:p w:rsidR="0077497F" w:rsidRPr="000C7C2C" w:rsidRDefault="0077497F" w:rsidP="0077497F">
                  <w:pPr>
                    <w:rPr>
                      <w:color w:val="1F497D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7497F" w:rsidRPr="00CD03BD" w:rsidRDefault="0077497F" w:rsidP="0077497F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77497F" w:rsidRPr="00CD03BD" w:rsidRDefault="0077497F" w:rsidP="0077497F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EC0F70" w:rsidRDefault="00EC0F70"/>
    <w:sectPr w:rsidR="00EC0F70" w:rsidSect="00EC0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3B2F5E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97F"/>
    <w:rsid w:val="00526A8F"/>
    <w:rsid w:val="00555233"/>
    <w:rsid w:val="0077497F"/>
    <w:rsid w:val="0085238E"/>
    <w:rsid w:val="00EB7DCD"/>
    <w:rsid w:val="00EC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97F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497F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97F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497F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  <w:sz w:val="24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497F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  <w:sz w:val="24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497F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  <w:sz w:val="24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497F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  <w:sz w:val="24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497F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  <w:sz w:val="24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497F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497F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497F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497F"/>
    <w:rPr>
      <w:rFonts w:ascii="Cambria" w:eastAsia="MS Gothic" w:hAnsi="Cambria" w:cs="Times New Roman"/>
      <w:b/>
      <w:bCs/>
      <w:color w:val="1D1B1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497F"/>
    <w:rPr>
      <w:rFonts w:ascii="Cambria" w:eastAsia="MS Gothic" w:hAnsi="Cambria" w:cs="Times New Roman"/>
      <w:b/>
      <w:bCs/>
      <w:i/>
      <w:color w:val="1D1B11"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497F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497F"/>
    <w:rPr>
      <w:rFonts w:ascii="Cambria" w:eastAsia="MS Gothic" w:hAnsi="Cambria" w:cs="Times New Roman"/>
      <w:color w:val="243F60"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497F"/>
    <w:rPr>
      <w:rFonts w:ascii="Cambria" w:eastAsia="MS Gothic" w:hAnsi="Cambria" w:cs="Times New Roman"/>
      <w:i/>
      <w:iCs/>
      <w:color w:val="243F60"/>
      <w:sz w:val="2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497F"/>
    <w:rPr>
      <w:rFonts w:ascii="Cambria" w:eastAsia="MS Gothic" w:hAnsi="Cambria" w:cs="Times New Roman"/>
      <w:i/>
      <w:iCs/>
      <w:color w:val="404040"/>
      <w:sz w:val="2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497F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497F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7497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97F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1202</Characters>
  <Application>Microsoft Office Word</Application>
  <DocSecurity>0</DocSecurity>
  <Lines>10</Lines>
  <Paragraphs>2</Paragraphs>
  <ScaleCrop>false</ScaleCrop>
  <Company>Pentium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2</cp:revision>
  <dcterms:created xsi:type="dcterms:W3CDTF">2014-08-26T11:18:00Z</dcterms:created>
  <dcterms:modified xsi:type="dcterms:W3CDTF">2014-08-26T11:46:00Z</dcterms:modified>
</cp:coreProperties>
</file>