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98" w:rsidRDefault="00C24598" w:rsidP="00915BE8">
      <w:pPr>
        <w:pStyle w:val="berschrift2"/>
        <w:numPr>
          <w:ilvl w:val="0"/>
          <w:numId w:val="0"/>
        </w:numPr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1pt;margin-top:40.9pt;width:462.45pt;height:62.8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6">
              <w:txbxContent>
                <w:p w:rsidR="00C24598" w:rsidRPr="00834EEF" w:rsidRDefault="00C24598" w:rsidP="00C24598">
                  <w:pPr>
                    <w:rPr>
                      <w:color w:val="1F497D" w:themeColor="text2"/>
                    </w:rPr>
                  </w:pPr>
                  <w:r w:rsidRPr="00834EEF">
                    <w:rPr>
                      <w:color w:val="1F497D" w:themeColor="text2"/>
                    </w:rPr>
                    <w:t>Dieser Versuch zeigt, dass chemische Reaktionen reversibel sind. Er verdeutlicht, dass der Sa</w:t>
                  </w:r>
                  <w:r w:rsidRPr="00834EEF">
                    <w:rPr>
                      <w:color w:val="1F497D" w:themeColor="text2"/>
                    </w:rPr>
                    <w:t>u</w:t>
                  </w:r>
                  <w:r w:rsidRPr="00834EEF">
                    <w:rPr>
                      <w:color w:val="1F497D" w:themeColor="text2"/>
                    </w:rPr>
                    <w:t xml:space="preserve">erstoff, aus den Metalloxiden entfernt werden kann. Als Vorwissen muss den </w:t>
                  </w:r>
                  <w:proofErr w:type="spellStart"/>
                  <w:r w:rsidRPr="00834EEF">
                    <w:rPr>
                      <w:color w:val="1F497D" w:themeColor="text2"/>
                    </w:rPr>
                    <w:t>SuS</w:t>
                  </w:r>
                  <w:proofErr w:type="spellEnd"/>
                  <w:r w:rsidRPr="00834EEF">
                    <w:rPr>
                      <w:color w:val="1F497D" w:themeColor="text2"/>
                    </w:rPr>
                    <w:t xml:space="preserve"> bekannt sein, dass die Glimmspanprobe eine Nachweisreaktion für Sauerstoff ist.</w:t>
                  </w:r>
                </w:p>
              </w:txbxContent>
            </v:textbox>
            <w10:wrap type="square"/>
          </v:shape>
        </w:pict>
      </w:r>
      <w:bookmarkStart w:id="0" w:name="_Toc395731892"/>
      <w:r>
        <w:t>V3 - Sauerstoff im Silberoxid</w:t>
      </w:r>
      <w:bookmarkEnd w:id="0"/>
    </w:p>
    <w:p w:rsidR="00C24598" w:rsidRDefault="00C24598" w:rsidP="00C24598">
      <w:pPr>
        <w:pStyle w:val="Textkrper"/>
      </w:pPr>
    </w:p>
    <w:tbl>
      <w:tblPr>
        <w:tblW w:w="9214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</w:tblBorders>
        <w:tblLayout w:type="fixed"/>
        <w:tblLook w:val="04A0"/>
      </w:tblPr>
      <w:tblGrid>
        <w:gridCol w:w="901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24598" w:rsidRPr="009C5E28" w:rsidTr="003F1FD0">
        <w:tc>
          <w:tcPr>
            <w:tcW w:w="9214" w:type="dxa"/>
            <w:gridSpan w:val="9"/>
            <w:shd w:val="clear" w:color="auto" w:fill="4F81BD"/>
            <w:vAlign w:val="center"/>
          </w:tcPr>
          <w:p w:rsidR="00C24598" w:rsidRPr="009C5E28" w:rsidRDefault="00C24598" w:rsidP="003F1FD0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C24598" w:rsidRPr="00647B09" w:rsidTr="003F1FD0">
        <w:trPr>
          <w:trHeight w:val="434"/>
        </w:trPr>
        <w:tc>
          <w:tcPr>
            <w:tcW w:w="2919" w:type="dxa"/>
            <w:gridSpan w:val="3"/>
            <w:shd w:val="clear" w:color="auto" w:fill="auto"/>
            <w:vAlign w:val="center"/>
          </w:tcPr>
          <w:p w:rsidR="00C24598" w:rsidRPr="000E7879" w:rsidRDefault="00C24598" w:rsidP="003F1FD0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Silber(I)-</w:t>
            </w:r>
            <w:proofErr w:type="spellStart"/>
            <w:r>
              <w:rPr>
                <w:color w:val="auto"/>
                <w:sz w:val="20"/>
                <w:szCs w:val="20"/>
              </w:rPr>
              <w:t>oxid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C24598" w:rsidRDefault="00C24598" w:rsidP="003F1FD0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</w:p>
          <w:p w:rsidR="00C24598" w:rsidRDefault="00C24598" w:rsidP="003F1FD0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272-314</w:t>
            </w:r>
            <w:r w:rsidRPr="000E7879">
              <w:rPr>
                <w:sz w:val="20"/>
                <w:szCs w:val="20"/>
              </w:rPr>
              <w:t xml:space="preserve"> </w:t>
            </w:r>
          </w:p>
          <w:p w:rsidR="00C24598" w:rsidRPr="00647B09" w:rsidRDefault="00C24598" w:rsidP="003F1FD0">
            <w:pPr>
              <w:spacing w:line="240" w:lineRule="auto"/>
              <w:jc w:val="center"/>
            </w:pPr>
            <w:r w:rsidRPr="00647B09">
              <w:rPr>
                <w:sz w:val="20"/>
              </w:rPr>
              <w:t>EUH 044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C24598" w:rsidRPr="00647B09" w:rsidRDefault="00C24598" w:rsidP="003F1FD0">
            <w:pPr>
              <w:pStyle w:val="Beschriftung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647B09">
              <w:rPr>
                <w:sz w:val="20"/>
                <w:szCs w:val="20"/>
                <w:lang w:val="en-US"/>
              </w:rPr>
              <w:t xml:space="preserve">P: </w:t>
            </w:r>
            <w:r>
              <w:rPr>
                <w:sz w:val="20"/>
                <w:szCs w:val="20"/>
                <w:lang w:val="en-US"/>
              </w:rPr>
              <w:t>210-301+330+331-305+351+338-309+</w:t>
            </w:r>
            <w:r w:rsidRPr="00647B09">
              <w:rPr>
                <w:sz w:val="20"/>
                <w:szCs w:val="20"/>
                <w:lang w:val="en-US"/>
              </w:rPr>
              <w:t>310</w:t>
            </w:r>
          </w:p>
        </w:tc>
      </w:tr>
      <w:tr w:rsidR="00C24598" w:rsidRPr="009C5E28" w:rsidTr="003F1FD0">
        <w:tc>
          <w:tcPr>
            <w:tcW w:w="901" w:type="dxa"/>
            <w:shd w:val="clear" w:color="auto" w:fill="auto"/>
            <w:vAlign w:val="center"/>
          </w:tcPr>
          <w:p w:rsidR="00C24598" w:rsidRPr="009C5E28" w:rsidRDefault="00C24598" w:rsidP="003F1FD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4082" cy="504000"/>
                  <wp:effectExtent l="19050" t="0" r="0" b="0"/>
                  <wp:docPr id="48" name="Bild 15" descr="C:\Users\Public\Documents\UNI\SoSe14\SVP-chemie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ublic\Documents\UNI\SoSe14\SVP-chemie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82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24598" w:rsidRPr="009C5E28" w:rsidRDefault="00C24598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82" cy="504000"/>
                  <wp:effectExtent l="19050" t="0" r="0" b="0"/>
                  <wp:docPr id="30" name="Bild 11" descr="C:\Users\Public\Documents\UNI\SoSe14\SVP-chemie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ublic\Documents\UNI\SoSe14\SVP-chemie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82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24598" w:rsidRPr="009C5E28" w:rsidRDefault="00C24598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82" cy="504000"/>
                  <wp:effectExtent l="19050" t="0" r="0" b="0"/>
                  <wp:docPr id="31" name="Bild 9" descr="C:\Users\Public\Documents\UNI\SoSe14\SVP-chemi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ublic\Documents\UNI\SoSe14\SVP-chemi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82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24598" w:rsidRPr="009C5E28" w:rsidRDefault="00C24598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24598" w:rsidRPr="009C5E28" w:rsidRDefault="00C24598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82" cy="504000"/>
                  <wp:effectExtent l="19050" t="0" r="0" b="0"/>
                  <wp:docPr id="35" name="Bild 10" descr="C:\Users\Public\Documents\UNI\SoSe14\SVP-chemie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ublic\Documents\UNI\SoSe14\SVP-chemie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82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4598" w:rsidRPr="009C5E28" w:rsidRDefault="00C24598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4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4598" w:rsidRPr="009C5E28" w:rsidRDefault="00C24598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24598" w:rsidRPr="009C5E28" w:rsidRDefault="00C24598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46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lum bright="4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98" w:rsidRPr="009C5E28" w:rsidRDefault="00C24598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598" w:rsidRDefault="00C24598" w:rsidP="00C24598">
      <w:pPr>
        <w:pStyle w:val="Textkrper"/>
      </w:pPr>
    </w:p>
    <w:p w:rsidR="00C24598" w:rsidRDefault="00C24598" w:rsidP="00C24598">
      <w:pPr>
        <w:pStyle w:val="Textkrper"/>
      </w:pPr>
      <w:r>
        <w:t>Materialien:</w:t>
      </w:r>
      <w:r>
        <w:tab/>
      </w:r>
      <w:r>
        <w:tab/>
        <w:t>Gasbrenner, Stativ, Reagenzglas, Glimmspan</w:t>
      </w:r>
    </w:p>
    <w:p w:rsidR="00C24598" w:rsidRDefault="00C24598" w:rsidP="00C24598">
      <w:pPr>
        <w:pStyle w:val="Textkrper"/>
      </w:pPr>
      <w:r>
        <w:t>Chemikalien:</w:t>
      </w:r>
      <w:r>
        <w:tab/>
      </w:r>
      <w:r>
        <w:tab/>
        <w:t>Silber(I)-</w:t>
      </w:r>
      <w:proofErr w:type="spellStart"/>
      <w:r>
        <w:t>oxid</w:t>
      </w:r>
      <w:proofErr w:type="spellEnd"/>
    </w:p>
    <w:p w:rsidR="00C24598" w:rsidRDefault="00C24598" w:rsidP="00C24598">
      <w:pPr>
        <w:pStyle w:val="Textkrper"/>
        <w:ind w:left="2124" w:hanging="2124"/>
      </w:pPr>
      <w:r>
        <w:t>Durchführung:</w:t>
      </w:r>
      <w:r>
        <w:tab/>
        <w:t xml:space="preserve">Eine </w:t>
      </w:r>
      <w:proofErr w:type="spellStart"/>
      <w:r>
        <w:t>Spatelspitze</w:t>
      </w:r>
      <w:proofErr w:type="spellEnd"/>
      <w:r>
        <w:t xml:space="preserve"> Silberoxid wird in ein Reagenzglas gegeben und mit dem Gasbrenner erhitzt. Sobald das Silberoxid glüht, wird mit dem en</w:t>
      </w:r>
      <w:r>
        <w:t>t</w:t>
      </w:r>
      <w:r>
        <w:t>weichenden Gas die Glimmspanprobe durchgeführt.</w:t>
      </w:r>
    </w:p>
    <w:p w:rsidR="00C24598" w:rsidRDefault="00C24598" w:rsidP="00C24598">
      <w:pPr>
        <w:pStyle w:val="Textkrper"/>
        <w:ind w:left="2124" w:hanging="2124"/>
      </w:pPr>
      <w:r>
        <w:t>Beobachtung:</w:t>
      </w:r>
      <w:r>
        <w:tab/>
        <w:t>Das schwarze Silberoxid glüht schnell auf und der Glimmspan entflammt im Reagenzglas (die Glimmspanprobe ist positiv). Am Reagenzglasboden entsteht ein silbrig glänzender Feststoff.</w:t>
      </w:r>
    </w:p>
    <w:p w:rsidR="00C24598" w:rsidRDefault="00C24598" w:rsidP="00C24598">
      <w:pPr>
        <w:pStyle w:val="Textkrper"/>
      </w:pPr>
      <w:r>
        <w:t>Deutung:</w:t>
      </w:r>
      <w:r>
        <w:tab/>
      </w:r>
      <w:r>
        <w:tab/>
        <w:t>Das Silberoxid wird zu Silber und Sauerstoff zersetzt.</w:t>
      </w:r>
    </w:p>
    <w:p w:rsidR="00C24598" w:rsidRDefault="00C24598" w:rsidP="00C24598">
      <w:pPr>
        <w:pStyle w:val="Textkrper"/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Silberoxid →Silber+Sauerstoff</m:t>
        </m:r>
      </m:oMath>
    </w:p>
    <w:p w:rsidR="00C24598" w:rsidRDefault="00C24598" w:rsidP="00C24598">
      <w:pPr>
        <w:pStyle w:val="Textkrper"/>
      </w:pPr>
      <w:r>
        <w:t>Entsorgung:</w:t>
      </w:r>
      <w:r>
        <w:tab/>
      </w:r>
      <w:r>
        <w:tab/>
        <w:t>Die Silberreste können gesammelt und weiter verwertet werden.</w:t>
      </w:r>
    </w:p>
    <w:p w:rsidR="00C24598" w:rsidRDefault="00C24598" w:rsidP="00C24598">
      <w:pPr>
        <w:pStyle w:val="Textkrper"/>
      </w:pPr>
      <w:r>
        <w:t>Literatur:</w:t>
      </w:r>
    </w:p>
    <w:p w:rsidR="00C24598" w:rsidRDefault="00C24598" w:rsidP="00C24598">
      <w:pPr>
        <w:pStyle w:val="Textkrper"/>
      </w:pPr>
      <w:r>
        <w:t xml:space="preserve">H. Schmidkunz, W. </w:t>
      </w:r>
      <w:proofErr w:type="spellStart"/>
      <w:r>
        <w:t>Rentzsch</w:t>
      </w:r>
      <w:proofErr w:type="spellEnd"/>
      <w:r>
        <w:t xml:space="preserve">, Chemische </w:t>
      </w:r>
      <w:proofErr w:type="spellStart"/>
      <w:r>
        <w:t>Freihand</w:t>
      </w:r>
      <w:proofErr w:type="spellEnd"/>
      <w:r>
        <w:t xml:space="preserve"> Versuche, Band 1, </w:t>
      </w:r>
      <w:proofErr w:type="spellStart"/>
      <w:r>
        <w:t>Aulis</w:t>
      </w:r>
      <w:proofErr w:type="spellEnd"/>
      <w:r>
        <w:t xml:space="preserve"> Verlag, 2011, S. 158.</w:t>
      </w:r>
    </w:p>
    <w:p w:rsidR="00A70185" w:rsidRDefault="00C24598" w:rsidP="00C24598">
      <w:pPr>
        <w:pStyle w:val="Textkrper"/>
        <w:jc w:val="left"/>
      </w:pPr>
      <w:r>
        <w:rPr>
          <w:noProof/>
          <w:lang w:eastAsia="de-DE"/>
        </w:rPr>
        <w:pict>
          <v:shape id="_x0000_s1027" type="#_x0000_t202" style="position:absolute;margin-left:-3.95pt;margin-top:65.75pt;width:462.45pt;height:100.6pt;z-index:251661312;mso-width-relative:margin;mso-height-relative:margin" fillcolor="white [3201]" strokecolor="#f79646 [3209]" strokeweight="1pt">
            <v:stroke dashstyle="dash"/>
            <v:shadow color="#868686"/>
            <v:textbox style="mso-next-textbox:#_x0000_s1027">
              <w:txbxContent>
                <w:p w:rsidR="00C24598" w:rsidRPr="000D10FB" w:rsidRDefault="00C24598" w:rsidP="00C24598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Dieses Experiment kann zum einen genutzt werden um den </w:t>
                  </w:r>
                  <w:proofErr w:type="spellStart"/>
                  <w:r>
                    <w:rPr>
                      <w:color w:val="1F497D" w:themeColor="text2"/>
                    </w:rPr>
                    <w:t>SuS</w:t>
                  </w:r>
                  <w:proofErr w:type="spellEnd"/>
                  <w:r>
                    <w:rPr>
                      <w:color w:val="1F497D" w:themeColor="text2"/>
                    </w:rPr>
                    <w:t xml:space="preserve"> zu verdeutlichen, dass Saue</w:t>
                  </w:r>
                  <w:r>
                    <w:rPr>
                      <w:color w:val="1F497D" w:themeColor="text2"/>
                    </w:rPr>
                    <w:t>r</w:t>
                  </w:r>
                  <w:r>
                    <w:rPr>
                      <w:color w:val="1F497D" w:themeColor="text2"/>
                    </w:rPr>
                    <w:t xml:space="preserve">stoffatome in den Metalloxiden enthalten sind und aus diesen freigesetzt werden können. Somit dient er als Unterstützung bei der Konstruktion des Teilchenmodells für die </w:t>
                  </w:r>
                  <w:proofErr w:type="spellStart"/>
                  <w:r>
                    <w:rPr>
                      <w:color w:val="1F497D" w:themeColor="text2"/>
                    </w:rPr>
                    <w:t>SuS</w:t>
                  </w:r>
                  <w:proofErr w:type="spellEnd"/>
                  <w:r>
                    <w:rPr>
                      <w:color w:val="1F497D" w:themeColor="text2"/>
                    </w:rPr>
                    <w:t>. Zum anderen kann mithilfe dieses Experiments die Reversibilität von chemischen Reaktionen im U</w:t>
                  </w:r>
                  <w:r>
                    <w:rPr>
                      <w:color w:val="1F497D" w:themeColor="text2"/>
                    </w:rPr>
                    <w:t>n</w:t>
                  </w:r>
                  <w:r>
                    <w:rPr>
                      <w:color w:val="1F497D" w:themeColor="text2"/>
                    </w:rPr>
                    <w:t>terricht behandelt werden.</w:t>
                  </w:r>
                </w:p>
              </w:txbxContent>
            </v:textbox>
            <w10:wrap type="square"/>
          </v:shape>
        </w:pict>
      </w:r>
      <w:r>
        <w:t xml:space="preserve">Landesbildungsserver Baden-Württemberg, </w:t>
      </w:r>
      <w:hyperlink r:id="rId14" w:history="1">
        <w:r w:rsidRPr="00336114">
          <w:rPr>
            <w:rStyle w:val="Hyperlink"/>
          </w:rPr>
          <w:t>http://www.schule-bw.de/unterricht/faecher/chemie/material/unter/massengesetze/konstantmass/silberoxid/</w:t>
        </w:r>
      </w:hyperlink>
      <w:r>
        <w:t xml:space="preserve"> (zuletzt abgerufen am 13.08.2014 um 21:50 Uhr)</w:t>
      </w:r>
    </w:p>
    <w:sectPr w:rsidR="00A70185" w:rsidSect="00A701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C24598"/>
    <w:rsid w:val="00915BE8"/>
    <w:rsid w:val="00A70185"/>
    <w:rsid w:val="00B52307"/>
    <w:rsid w:val="00C2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598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4598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459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24598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459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2459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459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459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459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2459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4598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24598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24598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245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245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45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4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45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245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24598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24598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C2459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C24598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598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schule-bw.de/unterricht/faecher/chemie/material/unter/massengesetze/konstantmass/silberoxid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1069</Characters>
  <Application>Microsoft Office Word</Application>
  <DocSecurity>0</DocSecurity>
  <Lines>8</Lines>
  <Paragraphs>2</Paragraphs>
  <ScaleCrop>false</ScaleCrop>
  <Company>Frost-RL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3</cp:revision>
  <dcterms:created xsi:type="dcterms:W3CDTF">2014-08-27T09:22:00Z</dcterms:created>
  <dcterms:modified xsi:type="dcterms:W3CDTF">2014-08-27T09:24:00Z</dcterms:modified>
</cp:coreProperties>
</file>