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A6" w:rsidRDefault="00C759A6" w:rsidP="00C759A6">
      <w:pPr>
        <w:pStyle w:val="berschrift2"/>
        <w:numPr>
          <w:ilvl w:val="0"/>
          <w:numId w:val="0"/>
        </w:numPr>
        <w:ind w:left="576" w:hanging="576"/>
      </w:pPr>
      <w:bookmarkStart w:id="0" w:name="_Toc395738504"/>
      <w:r>
        <w:t>V</w:t>
      </w:r>
      <w:bookmarkStart w:id="1" w:name="_GoBack"/>
      <w:bookmarkEnd w:id="1"/>
      <w:r>
        <w:t xml:space="preserve"> 1 – Die Korrosionszelle</w:t>
      </w:r>
      <w:bookmarkEnd w:id="0"/>
    </w:p>
    <w:p w:rsidR="00C759A6" w:rsidRDefault="00C759A6" w:rsidP="00C759A6">
      <w:pPr>
        <w:tabs>
          <w:tab w:val="left" w:pos="3090"/>
        </w:tabs>
        <w:spacing w:after="0"/>
      </w:pPr>
      <w:r>
        <w:tab/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759A6" w:rsidRPr="009C5E28" w:rsidTr="00DF5891">
        <w:tc>
          <w:tcPr>
            <w:tcW w:w="9322" w:type="dxa"/>
            <w:gridSpan w:val="9"/>
            <w:shd w:val="clear" w:color="auto" w:fill="4F81BD"/>
            <w:vAlign w:val="center"/>
          </w:tcPr>
          <w:p w:rsidR="00C759A6" w:rsidRPr="009C5E28" w:rsidRDefault="00C759A6" w:rsidP="00DF5891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C759A6" w:rsidRPr="009C5E28" w:rsidTr="00DF589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59A6" w:rsidRPr="00143811" w:rsidRDefault="00C759A6" w:rsidP="00DF5891">
            <w:pPr>
              <w:spacing w:after="0" w:line="276" w:lineRule="auto"/>
              <w:jc w:val="center"/>
              <w:rPr>
                <w:bCs/>
              </w:rPr>
            </w:pPr>
            <w:proofErr w:type="spellStart"/>
            <w:r>
              <w:t>Kaliumhexacyanidoferrat</w:t>
            </w:r>
            <w:proofErr w:type="spellEnd"/>
            <w:r>
              <w:t xml:space="preserve"> (III)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59A6" w:rsidRPr="009C5E28" w:rsidRDefault="00C759A6" w:rsidP="00DF5891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759A6" w:rsidRPr="009C5E28" w:rsidRDefault="00C759A6" w:rsidP="00DF5891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C759A6" w:rsidRPr="009C5E28" w:rsidTr="00DF589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59A6" w:rsidRDefault="00C759A6" w:rsidP="00DF5891">
            <w:pPr>
              <w:spacing w:after="0" w:line="276" w:lineRule="auto"/>
              <w:jc w:val="center"/>
            </w:pPr>
            <w:r>
              <w:t>Phenolphthalein-Lösung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59A6" w:rsidRDefault="00C759A6" w:rsidP="00DF589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H226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759A6" w:rsidRDefault="00C759A6" w:rsidP="00DF589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759A6" w:rsidRPr="009C5E28" w:rsidTr="00DF589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59A6" w:rsidRDefault="00C759A6" w:rsidP="00DF5891">
            <w:pPr>
              <w:spacing w:after="0" w:line="276" w:lineRule="auto"/>
              <w:jc w:val="center"/>
            </w:pPr>
            <w:r>
              <w:t>Natriumchlorid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59A6" w:rsidRDefault="00C759A6" w:rsidP="00DF589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759A6" w:rsidRDefault="00C759A6" w:rsidP="00DF589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759A6" w:rsidRPr="009C5E28" w:rsidTr="00DF589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59A6" w:rsidRPr="009C5E28" w:rsidRDefault="00C759A6" w:rsidP="00DF589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7ECC1FE2" wp14:editId="77F01264">
                  <wp:extent cx="504190" cy="504190"/>
                  <wp:effectExtent l="0" t="0" r="0" b="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59A6" w:rsidRPr="009C5E28" w:rsidRDefault="00C759A6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06AF8F2" wp14:editId="52DD59A5">
                  <wp:extent cx="504190" cy="504190"/>
                  <wp:effectExtent l="0" t="0" r="0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59A6" w:rsidRPr="009C5E28" w:rsidRDefault="00C759A6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BF26009" wp14:editId="4C5B217F">
                  <wp:extent cx="504190" cy="504190"/>
                  <wp:effectExtent l="0" t="0" r="0" b="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59A6" w:rsidRPr="009C5E28" w:rsidRDefault="00C759A6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92884BD" wp14:editId="72790BF7">
                  <wp:extent cx="504190" cy="504190"/>
                  <wp:effectExtent l="0" t="0" r="0" b="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59A6" w:rsidRPr="009C5E28" w:rsidRDefault="00C759A6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C103B55" wp14:editId="75C1068A">
                  <wp:extent cx="504190" cy="504190"/>
                  <wp:effectExtent l="0" t="0" r="0" b="0"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59A6" w:rsidRPr="009C5E28" w:rsidRDefault="00C759A6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4E96F36" wp14:editId="6A5C6A4B">
                  <wp:extent cx="504190" cy="504190"/>
                  <wp:effectExtent l="0" t="0" r="0" b="0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59A6" w:rsidRPr="009C5E28" w:rsidRDefault="00C759A6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C029085" wp14:editId="696F3048">
                  <wp:extent cx="504190" cy="504190"/>
                  <wp:effectExtent l="0" t="0" r="0" b="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759A6" w:rsidRPr="009C5E28" w:rsidRDefault="00C759A6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54D3D13" wp14:editId="1F2CD5AD">
                  <wp:extent cx="511175" cy="511175"/>
                  <wp:effectExtent l="0" t="0" r="3175" b="3175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759A6" w:rsidRPr="009C5E28" w:rsidRDefault="00C759A6" w:rsidP="00DF589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2C2D9E9" wp14:editId="782E95E2">
                  <wp:extent cx="504190" cy="504190"/>
                  <wp:effectExtent l="0" t="0" r="0" b="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59A6" w:rsidRDefault="00C759A6" w:rsidP="00C759A6">
      <w:pPr>
        <w:tabs>
          <w:tab w:val="left" w:pos="1701"/>
          <w:tab w:val="left" w:pos="1985"/>
        </w:tabs>
        <w:spacing w:before="240"/>
        <w:ind w:left="1980" w:hanging="1980"/>
      </w:pPr>
      <w:r>
        <w:t xml:space="preserve">Materialien: </w:t>
      </w:r>
      <w:r>
        <w:tab/>
      </w:r>
      <w:r>
        <w:tab/>
        <w:t xml:space="preserve">U-Rohr, Pipette, </w:t>
      </w:r>
      <w:proofErr w:type="spellStart"/>
      <w:r>
        <w:t>Pipettenhütchen</w:t>
      </w:r>
      <w:proofErr w:type="spellEnd"/>
      <w:r>
        <w:t>, Spatel, Kabel, Schmirgelpapier, Stativ, Muffe, Metallstange</w:t>
      </w:r>
    </w:p>
    <w:p w:rsidR="00C759A6" w:rsidRPr="00ED07C2" w:rsidRDefault="00C759A6" w:rsidP="00C759A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Kupferblech, Eisenblech, </w:t>
      </w:r>
      <w:proofErr w:type="spellStart"/>
      <w:r>
        <w:t>Kaliumhexacyanidoferrat</w:t>
      </w:r>
      <w:proofErr w:type="spellEnd"/>
      <w:r>
        <w:t xml:space="preserve"> (III) (K</w:t>
      </w:r>
      <w:r w:rsidRPr="009C65A3">
        <w:rPr>
          <w:vertAlign w:val="subscript"/>
        </w:rPr>
        <w:t>3</w:t>
      </w:r>
      <w:r>
        <w:t>[</w:t>
      </w:r>
      <w:proofErr w:type="spellStart"/>
      <w:r>
        <w:t>Fe</w:t>
      </w:r>
      <w:proofErr w:type="spellEnd"/>
      <w:r>
        <w:t>(CN)</w:t>
      </w:r>
      <w:r w:rsidRPr="009C65A3">
        <w:rPr>
          <w:vertAlign w:val="subscript"/>
        </w:rPr>
        <w:t>6</w:t>
      </w:r>
      <w:r>
        <w:t>]), Ph</w:t>
      </w:r>
      <w:r>
        <w:t>e</w:t>
      </w:r>
      <w:r>
        <w:t>nolphthalein-Lösung (0,1 %), Natriumchlorid (NaCl), demineralisiertes Wasser</w:t>
      </w:r>
    </w:p>
    <w:p w:rsidR="00C759A6" w:rsidRDefault="00C759A6" w:rsidP="00C759A6">
      <w:pPr>
        <w:tabs>
          <w:tab w:val="left" w:pos="1701"/>
          <w:tab w:val="left" w:pos="1985"/>
        </w:tabs>
        <w:spacing w:after="0"/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1452914C" wp14:editId="3E9CBDF1">
            <wp:simplePos x="0" y="0"/>
            <wp:positionH relativeFrom="column">
              <wp:posOffset>4041140</wp:posOffset>
            </wp:positionH>
            <wp:positionV relativeFrom="paragraph">
              <wp:posOffset>427355</wp:posOffset>
            </wp:positionV>
            <wp:extent cx="2112645" cy="1250950"/>
            <wp:effectExtent l="0" t="7302" r="0" b="0"/>
            <wp:wrapSquare wrapText="bothSides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7972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11264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Durchführung: </w:t>
      </w:r>
      <w:r>
        <w:tab/>
      </w:r>
      <w:r>
        <w:tab/>
        <w:t xml:space="preserve">Ein </w:t>
      </w:r>
      <w:proofErr w:type="spellStart"/>
      <w:r>
        <w:t>Spatellöffel</w:t>
      </w:r>
      <w:proofErr w:type="spellEnd"/>
      <w:r>
        <w:t xml:space="preserve"> Natriumchlorid sowie eine Spatelspitze </w:t>
      </w:r>
      <w:proofErr w:type="spellStart"/>
      <w:r>
        <w:t>Kaliumhexacy</w:t>
      </w:r>
      <w:r>
        <w:t>a</w:t>
      </w:r>
      <w:r>
        <w:t>nidoferrat</w:t>
      </w:r>
      <w:proofErr w:type="spellEnd"/>
      <w:r>
        <w:t xml:space="preserve"> (III) werden in 100 mL Wasser gelöst und 10 Tropfen Phenolp</w:t>
      </w:r>
      <w:r>
        <w:t>h</w:t>
      </w:r>
      <w:r>
        <w:t xml:space="preserve">thalein-Lösung hinzu gegeben. Mit Hilfe des Schmirgelpapiers werden die Bleche gereinigt und mit dem Kabel verbunden. Die wässrige Lösung wird in das U-Rohr gefüllt und in jede Öffnung wird ein Blech getaucht. </w:t>
      </w:r>
    </w:p>
    <w:p w:rsidR="00C759A6" w:rsidRDefault="00C759A6" w:rsidP="00C759A6">
      <w:pPr>
        <w:tabs>
          <w:tab w:val="left" w:pos="1701"/>
          <w:tab w:val="left" w:pos="1985"/>
        </w:tabs>
        <w:spacing w:before="240"/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04267" wp14:editId="20B0370C">
                <wp:simplePos x="0" y="0"/>
                <wp:positionH relativeFrom="column">
                  <wp:posOffset>4486910</wp:posOffset>
                </wp:positionH>
                <wp:positionV relativeFrom="paragraph">
                  <wp:posOffset>175895</wp:posOffset>
                </wp:positionV>
                <wp:extent cx="1250950" cy="629285"/>
                <wp:effectExtent l="0" t="0" r="6350" b="0"/>
                <wp:wrapSquare wrapText="bothSides"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6292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59A6" w:rsidRPr="004978FA" w:rsidRDefault="00C759A6" w:rsidP="00C759A6">
                            <w:pPr>
                              <w:pStyle w:val="Beschriftung"/>
                              <w:rPr>
                                <w:noProof/>
                                <w:color w:val="1D1B11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 w:rsidR="009C192A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links ist das Eisenblech, rechts befi</w:t>
                            </w:r>
                            <w:r>
                              <w:t>n</w:t>
                            </w:r>
                            <w:r>
                              <w:t>det sich das Kupferblech.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6" o:spid="_x0000_s1026" type="#_x0000_t202" style="position:absolute;left:0;text-align:left;margin-left:353.3pt;margin-top:13.85pt;width:98.5pt;height:49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" stroked="f">
                <v:textbox inset="0,0,0,0">
                  <w:txbxContent>
                    <w:p w:rsidR="00C759A6" w:rsidRPr="004978FA" w:rsidRDefault="00C759A6" w:rsidP="00C759A6">
                      <w:pPr>
                        <w:pStyle w:val="Beschriftung"/>
                        <w:rPr>
                          <w:noProof/>
                          <w:color w:val="1D1B11" w:themeColor="background2" w:themeShade="1A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 w:rsidR="009C192A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: links ist das Eisenblech, rechts befi</w:t>
                      </w:r>
                      <w:r>
                        <w:t>n</w:t>
                      </w:r>
                      <w:r>
                        <w:t>det sich das Kupferblech.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Beobachtung:</w:t>
      </w:r>
      <w:r>
        <w:tab/>
      </w:r>
      <w:r>
        <w:tab/>
        <w:t xml:space="preserve">Die Umgebung um das Kupferblech färbt sich nach ungefähr 20 Minuten violett, um das Eisenblech tritt rasch ein blauer Niederschlag auf. </w:t>
      </w:r>
    </w:p>
    <w:p w:rsidR="00C759A6" w:rsidRDefault="00C759A6" w:rsidP="00C759A6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An dem Eisenblech tritt eine Korrosion auf, wodurch Fe</w:t>
      </w:r>
      <w:r w:rsidRPr="00182185">
        <w:rPr>
          <w:vertAlign w:val="superscript"/>
        </w:rPr>
        <w:t>2+</w:t>
      </w:r>
      <w:r>
        <w:t xml:space="preserve">-Ionen freigesetzt werden, welche mit dem </w:t>
      </w:r>
      <w:proofErr w:type="spellStart"/>
      <w:r>
        <w:t>Kaliumhexacyanidoferrat</w:t>
      </w:r>
      <w:proofErr w:type="spellEnd"/>
      <w:r>
        <w:t xml:space="preserve"> (III) einen blauen Ni</w:t>
      </w:r>
      <w:r>
        <w:t>e</w:t>
      </w:r>
      <w:r>
        <w:t>derschlag bilden.</w:t>
      </w:r>
    </w:p>
    <w:p w:rsidR="00C759A6" w:rsidRDefault="00C759A6" w:rsidP="00C759A6">
      <w:pPr>
        <w:tabs>
          <w:tab w:val="left" w:pos="1701"/>
          <w:tab w:val="left" w:pos="1985"/>
        </w:tabs>
        <w:ind w:left="1980" w:hanging="1980"/>
        <w:jc w:val="center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2 </m:t>
        </m:r>
        <m:r>
          <w:rPr>
            <w:rFonts w:ascii="Cambria Math" w:hAnsi="Cambria Math"/>
          </w:rPr>
          <m:t>Fe→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 Fe</m:t>
            </m:r>
          </m:e>
          <m:sup>
            <m:r>
              <w:rPr>
                <w:rFonts w:ascii="Cambria Math" w:hAnsi="Cambria Math"/>
              </w:rPr>
              <m:t>2+</m:t>
            </m:r>
          </m:sup>
        </m:sSup>
        <m:r>
          <w:rPr>
            <w:rFonts w:ascii="Cambria Math" w:hAnsi="Cambria Math"/>
          </w:rPr>
          <m:t xml:space="preserve">+ 4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</w:p>
    <w:p w:rsidR="00C759A6" w:rsidRDefault="00C759A6" w:rsidP="00C759A6">
      <w:pPr>
        <w:tabs>
          <w:tab w:val="left" w:pos="1701"/>
          <w:tab w:val="left" w:pos="1985"/>
        </w:tabs>
        <w:ind w:left="1980" w:hanging="1980"/>
      </w:pPr>
      <w:r>
        <w:lastRenderedPageBreak/>
        <w:tab/>
      </w:r>
      <w:r>
        <w:tab/>
      </w:r>
      <w:r>
        <w:tab/>
        <w:t>An dem Kupferblech wird gelöster Sauerstoff reduziert und reagiert mit Wasser, wodurch Hydroxid-Ionen entstehen. Die Hydroxid-Ionen haben zur Folge, dass sich der Indikator Phenolphthalein violett färbt.</w:t>
      </w:r>
    </w:p>
    <w:p w:rsidR="00C759A6" w:rsidRPr="00EA06CA" w:rsidRDefault="00C759A6" w:rsidP="00C759A6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+ 2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O + 4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r>
            <w:rPr>
              <w:rFonts w:ascii="Cambria Math" w:hAnsi="Cambria Math"/>
            </w:rPr>
            <m:t>→</m:t>
          </m:r>
          <m:r>
            <w:rPr>
              <w:rFonts w:ascii="Cambria Math" w:eastAsiaTheme="minorEastAsia" w:hAnsi="Cambria Math"/>
            </w:rPr>
            <m:t xml:space="preserve">4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OH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</m:sup>
          </m:sSup>
        </m:oMath>
      </m:oMathPara>
    </w:p>
    <w:p w:rsidR="00C759A6" w:rsidRDefault="00C759A6" w:rsidP="00C759A6">
      <w:pPr>
        <w:tabs>
          <w:tab w:val="left" w:pos="1701"/>
          <w:tab w:val="left" w:pos="1985"/>
        </w:tabs>
        <w:ind w:left="1980" w:hanging="1980"/>
      </w:pPr>
      <w:r>
        <w:t xml:space="preserve">Gesamtgleichung: </w:t>
      </w:r>
      <w:r>
        <w:tab/>
      </w:r>
      <w:r>
        <w:tab/>
      </w:r>
      <w:r>
        <w:tab/>
      </w:r>
      <w:r>
        <w:tab/>
        <w:t xml:space="preserve"> </w:t>
      </w:r>
      <m:oMath>
        <m:r>
          <w:rPr>
            <w:rFonts w:ascii="Cambria Math" w:hAnsi="Cambria Math"/>
          </w:rPr>
          <m:t xml:space="preserve">2 Fe 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+ 2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O→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 Fe</m:t>
            </m:r>
          </m:e>
          <m:sup>
            <m:r>
              <w:rPr>
                <w:rFonts w:ascii="Cambria Math" w:hAnsi="Cambria Math"/>
              </w:rPr>
              <m:t>2+</m:t>
            </m:r>
          </m:sup>
        </m:sSup>
        <m:r>
          <w:rPr>
            <w:rFonts w:ascii="Cambria Math" w:eastAsiaTheme="minorEastAsia" w:hAnsi="Cambria Math"/>
          </w:rPr>
          <m:t xml:space="preserve"> + 4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OH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</m:oMath>
    </w:p>
    <w:p w:rsidR="00C759A6" w:rsidRPr="00A87C77" w:rsidRDefault="00C759A6" w:rsidP="00C759A6">
      <w:pPr>
        <w:spacing w:line="276" w:lineRule="auto"/>
        <w:ind w:left="1985" w:hanging="1985"/>
        <w:rPr>
          <w:color w:val="auto"/>
        </w:rPr>
      </w:pPr>
      <w:r w:rsidRPr="00A87C77">
        <w:rPr>
          <w:color w:val="auto"/>
        </w:rPr>
        <w:t>Entsorgung:</w:t>
      </w:r>
      <w:r w:rsidRPr="00A87C77">
        <w:rPr>
          <w:color w:val="auto"/>
        </w:rPr>
        <w:tab/>
        <w:t xml:space="preserve">Die </w:t>
      </w:r>
      <w:r>
        <w:rPr>
          <w:color w:val="auto"/>
        </w:rPr>
        <w:t>Lösung sollte dem anorganischen Abfallbehälter zugeführt werden.</w:t>
      </w:r>
    </w:p>
    <w:p w:rsidR="00C759A6" w:rsidRDefault="00C759A6" w:rsidP="00C759A6">
      <w:pPr>
        <w:ind w:left="1985" w:hanging="1985"/>
      </w:pPr>
      <w:r w:rsidRPr="00A87C77">
        <w:rPr>
          <w:color w:val="auto"/>
        </w:rPr>
        <w:t>Literatur:</w:t>
      </w:r>
      <w:r w:rsidRPr="00A87C77">
        <w:rPr>
          <w:color w:val="auto"/>
        </w:rPr>
        <w:tab/>
      </w:r>
      <w:r w:rsidRPr="006C5863">
        <w:t xml:space="preserve">H. </w:t>
      </w:r>
      <w:proofErr w:type="spellStart"/>
      <w:r w:rsidRPr="006C5863">
        <w:t>Schmidkunz</w:t>
      </w:r>
      <w:proofErr w:type="spellEnd"/>
      <w:r w:rsidRPr="006C5863">
        <w:t xml:space="preserve">, </w:t>
      </w:r>
      <w:r>
        <w:t>W</w:t>
      </w:r>
      <w:r w:rsidRPr="006C5863">
        <w:t>. Rentsch, Chemische Freihandversuche, Bd.</w:t>
      </w:r>
      <w:r>
        <w:t xml:space="preserve"> 1</w:t>
      </w:r>
      <w:r w:rsidRPr="006C5863">
        <w:t xml:space="preserve">, </w:t>
      </w:r>
      <w:proofErr w:type="spellStart"/>
      <w:r w:rsidRPr="006C5863">
        <w:t>Aulis</w:t>
      </w:r>
      <w:proofErr w:type="spellEnd"/>
      <w:r w:rsidRPr="006C5863">
        <w:t>, 2011, S.</w:t>
      </w:r>
      <w:r>
        <w:t> 130</w:t>
      </w:r>
      <w:r w:rsidRPr="006C5863">
        <w:t>.</w:t>
      </w:r>
    </w:p>
    <w:p w:rsidR="00C759A6" w:rsidRPr="00A87C77" w:rsidRDefault="00C759A6" w:rsidP="00C759A6">
      <w:pPr>
        <w:ind w:left="1985" w:hanging="1985"/>
        <w:rPr>
          <w:color w:val="auto"/>
        </w:rPr>
      </w:pPr>
      <w:r>
        <w:tab/>
        <w:t xml:space="preserve">H. </w:t>
      </w:r>
      <w:proofErr w:type="spellStart"/>
      <w:r>
        <w:t>Keune</w:t>
      </w:r>
      <w:proofErr w:type="spellEnd"/>
      <w:r>
        <w:t xml:space="preserve">, H. </w:t>
      </w:r>
      <w:proofErr w:type="spellStart"/>
      <w:r>
        <w:t>Böhlnag</w:t>
      </w:r>
      <w:proofErr w:type="spellEnd"/>
      <w:r>
        <w:t xml:space="preserve"> (Hrsg.), Chemische Schulexperimente, Bd. 3, Volk und Wissen, 1. Auflage, 2002, S</w:t>
      </w:r>
      <w:r w:rsidRPr="006C5863">
        <w:t>. 221</w:t>
      </w:r>
      <w:r>
        <w:t> f</w:t>
      </w:r>
      <w:r w:rsidRPr="006C5863">
        <w:t>.</w:t>
      </w:r>
    </w:p>
    <w:p w:rsidR="00A97FD0" w:rsidRDefault="00A97FD0"/>
    <w:sectPr w:rsidR="00A97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A6"/>
    <w:rsid w:val="00047CAF"/>
    <w:rsid w:val="00152CE4"/>
    <w:rsid w:val="00767BC8"/>
    <w:rsid w:val="008371B2"/>
    <w:rsid w:val="009C192A"/>
    <w:rsid w:val="00A97FD0"/>
    <w:rsid w:val="00AF3D99"/>
    <w:rsid w:val="00C759A6"/>
    <w:rsid w:val="00D8371B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59A6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59A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59A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759A6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59A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59A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59A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59A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59A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59A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Spalten1">
    <w:name w:val="Table Columns 1"/>
    <w:basedOn w:val="NormaleTabelle"/>
    <w:rsid w:val="00152CE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bottom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C759A6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59A6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59A6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59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59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59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59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59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59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759A6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9A6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59A6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59A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59A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759A6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59A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59A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59A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59A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59A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59A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Spalten1">
    <w:name w:val="Table Columns 1"/>
    <w:basedOn w:val="NormaleTabelle"/>
    <w:rsid w:val="00152CE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bottom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C759A6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59A6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59A6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59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59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59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59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59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59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759A6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9A6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</dc:creator>
  <cp:lastModifiedBy>Nele</cp:lastModifiedBy>
  <cp:revision>2</cp:revision>
  <cp:lastPrinted>2014-08-26T22:18:00Z</cp:lastPrinted>
  <dcterms:created xsi:type="dcterms:W3CDTF">2014-08-26T22:17:00Z</dcterms:created>
  <dcterms:modified xsi:type="dcterms:W3CDTF">2014-08-26T22:18:00Z</dcterms:modified>
</cp:coreProperties>
</file>