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5A" w:rsidRDefault="005F315A" w:rsidP="005F315A">
      <w:pPr>
        <w:tabs>
          <w:tab w:val="left" w:pos="1701"/>
          <w:tab w:val="left" w:pos="1985"/>
        </w:tabs>
        <w:rPr>
          <w:b/>
          <w:sz w:val="28"/>
        </w:rPr>
      </w:pPr>
      <w:r>
        <w:rPr>
          <w:b/>
          <w:sz w:val="28"/>
        </w:rPr>
        <w:t>Das Kupferblech auf der Aluminiumfolie</w:t>
      </w:r>
    </w:p>
    <w:p w:rsidR="005F315A" w:rsidRDefault="005F315A" w:rsidP="005F315A">
      <w:pPr>
        <w:tabs>
          <w:tab w:val="left" w:pos="1701"/>
          <w:tab w:val="left" w:pos="1985"/>
        </w:tabs>
        <w:spacing w:before="240"/>
        <w:ind w:left="1980" w:hanging="1980"/>
      </w:pPr>
      <w:r>
        <w:t xml:space="preserve">Materialien: </w:t>
      </w:r>
      <w:r>
        <w:tab/>
      </w:r>
      <w:r>
        <w:tab/>
        <w:t xml:space="preserve">Pappkarton. Pipette, </w:t>
      </w:r>
      <w:proofErr w:type="spellStart"/>
      <w:r>
        <w:t>Pipettenhütchen</w:t>
      </w:r>
      <w:proofErr w:type="spellEnd"/>
    </w:p>
    <w:p w:rsidR="005F315A" w:rsidRPr="00ED07C2" w:rsidRDefault="005F315A" w:rsidP="005F315A">
      <w:pPr>
        <w:tabs>
          <w:tab w:val="left" w:pos="1701"/>
          <w:tab w:val="left" w:pos="1985"/>
        </w:tabs>
        <w:ind w:left="1980" w:hanging="1980"/>
      </w:pPr>
      <w:r>
        <w:rPr>
          <w:noProof/>
          <w:lang w:eastAsia="de-DE"/>
        </w:rPr>
        <mc:AlternateContent>
          <mc:Choice Requires="wps">
            <w:drawing>
              <wp:anchor distT="0" distB="0" distL="114300" distR="114300" simplePos="0" relativeHeight="251659264" behindDoc="1" locked="0" layoutInCell="1" allowOverlap="1" wp14:anchorId="42E04625" wp14:editId="30EFCD10">
                <wp:simplePos x="0" y="0"/>
                <wp:positionH relativeFrom="column">
                  <wp:posOffset>-104148</wp:posOffset>
                </wp:positionH>
                <wp:positionV relativeFrom="paragraph">
                  <wp:posOffset>305196</wp:posOffset>
                </wp:positionV>
                <wp:extent cx="6210300" cy="2778826"/>
                <wp:effectExtent l="0" t="0" r="19050" b="21590"/>
                <wp:wrapNone/>
                <wp:docPr id="37"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778826"/>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7" o:spid="_x0000_s1026" style="position:absolute;margin-left:-8.2pt;margin-top:24.05pt;width:489pt;height:2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" strokecolor="#4f81bd" strokeweight="1pt">
                <v:stroke dashstyle="dash"/>
                <v:shadow color="#868686"/>
              </v:rect>
            </w:pict>
          </mc:Fallback>
        </mc:AlternateContent>
      </w:r>
      <w:r>
        <w:t>Chemikalien:</w:t>
      </w:r>
      <w:r>
        <w:tab/>
      </w:r>
      <w:r>
        <w:tab/>
        <w:t>Aluminiumfolie (10 x 10 cm), Kupferrohr, verdünnte Natronlauge</w:t>
      </w:r>
    </w:p>
    <w:p w:rsidR="005F315A" w:rsidRDefault="005F315A" w:rsidP="005F315A">
      <w:pPr>
        <w:tabs>
          <w:tab w:val="left" w:pos="1701"/>
          <w:tab w:val="left" w:pos="1985"/>
        </w:tabs>
        <w:spacing w:after="0"/>
        <w:ind w:left="1980" w:hanging="1980"/>
      </w:pPr>
      <w:r>
        <w:rPr>
          <w:noProof/>
          <w:lang w:eastAsia="de-DE"/>
        </w:rPr>
        <w:drawing>
          <wp:anchor distT="0" distB="0" distL="114300" distR="114300" simplePos="0" relativeHeight="251661312" behindDoc="0" locked="0" layoutInCell="1" allowOverlap="1" wp14:anchorId="1B01437C" wp14:editId="1A869B2E">
            <wp:simplePos x="0" y="0"/>
            <wp:positionH relativeFrom="column">
              <wp:posOffset>4289425</wp:posOffset>
            </wp:positionH>
            <wp:positionV relativeFrom="paragraph">
              <wp:posOffset>86360</wp:posOffset>
            </wp:positionV>
            <wp:extent cx="1709420" cy="1175385"/>
            <wp:effectExtent l="0" t="0" r="5080" b="5715"/>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pfermitAlu.png"/>
                    <pic:cNvPicPr/>
                  </pic:nvPicPr>
                  <pic:blipFill>
                    <a:blip r:embed="rId8" cstate="email">
                      <a:extLst>
                        <a:ext uri="{28A0092B-C50C-407E-A947-70E740481C1C}">
                          <a14:useLocalDpi xmlns:a14="http://schemas.microsoft.com/office/drawing/2010/main"/>
                        </a:ext>
                      </a:extLst>
                    </a:blip>
                    <a:stretch>
                      <a:fillRect/>
                    </a:stretch>
                  </pic:blipFill>
                  <pic:spPr>
                    <a:xfrm>
                      <a:off x="0" y="0"/>
                      <a:ext cx="1709420" cy="1175385"/>
                    </a:xfrm>
                    <a:prstGeom prst="rect">
                      <a:avLst/>
                    </a:prstGeom>
                  </pic:spPr>
                </pic:pic>
              </a:graphicData>
            </a:graphic>
            <wp14:sizeRelH relativeFrom="page">
              <wp14:pctWidth>0</wp14:pctWidth>
            </wp14:sizeRelH>
            <wp14:sizeRelV relativeFrom="page">
              <wp14:pctHeight>0</wp14:pctHeight>
            </wp14:sizeRelV>
          </wp:anchor>
        </w:drawing>
      </w:r>
      <w:r>
        <w:t xml:space="preserve">Durchführung: </w:t>
      </w:r>
      <w:r>
        <w:tab/>
      </w:r>
      <w:r>
        <w:tab/>
        <w:t>Auf den Pappkartons werden jeweils die Aluminiumfolien ausgelegt. Anschließend werden sie mit Hilfe einer Pipette mit verdünnter Natronlauge benetzt. Auf eines der beiden Aluminiu</w:t>
      </w:r>
      <w:r>
        <w:t>m</w:t>
      </w:r>
      <w:r>
        <w:t>folien wird ein Kupferrohr gestellt. Das Kupfe</w:t>
      </w:r>
      <w:r>
        <w:t>r</w:t>
      </w:r>
      <w:r>
        <w:t>rohr wird nach etwa 20 Minuten entfernt.</w:t>
      </w:r>
    </w:p>
    <w:p w:rsidR="005F315A" w:rsidRDefault="005F315A" w:rsidP="005F315A">
      <w:pPr>
        <w:tabs>
          <w:tab w:val="left" w:pos="1701"/>
          <w:tab w:val="left" w:pos="1985"/>
        </w:tabs>
        <w:spacing w:after="0"/>
        <w:ind w:left="1980" w:hanging="1980"/>
      </w:pPr>
      <w:r>
        <w:t>Beobachtung:</w:t>
      </w:r>
      <w:r>
        <w:tab/>
        <w:t>___________________________________________________________________________________________________________________________________________________________________________________________________________________________________________________________</w:t>
      </w:r>
    </w:p>
    <w:p w:rsidR="005F315A" w:rsidRDefault="005F315A" w:rsidP="005F315A">
      <w:pPr>
        <w:tabs>
          <w:tab w:val="left" w:pos="1701"/>
          <w:tab w:val="left" w:pos="1985"/>
        </w:tabs>
        <w:spacing w:after="0"/>
        <w:ind w:left="1980" w:hanging="1980"/>
      </w:pPr>
    </w:p>
    <w:p w:rsidR="005F315A" w:rsidRDefault="005F315A" w:rsidP="005F315A">
      <w:pPr>
        <w:rPr>
          <w:color w:val="auto"/>
        </w:rPr>
      </w:pPr>
      <w:r w:rsidRPr="00D9695A">
        <w:rPr>
          <w:color w:val="auto"/>
        </w:rPr>
        <w:t xml:space="preserve">Aufgabe 1 – </w:t>
      </w:r>
      <w:r>
        <w:rPr>
          <w:color w:val="auto"/>
        </w:rPr>
        <w:t xml:space="preserve">(Gruppenarbeit) Entwerft einen möglichen Aufbau, um das entstehende Gas bei dem Versuch aufzufangen. </w:t>
      </w:r>
      <w:bookmarkStart w:id="0" w:name="_GoBack"/>
      <w:bookmarkEnd w:id="0"/>
    </w:p>
    <w:p w:rsidR="005F315A" w:rsidRPr="00D9695A" w:rsidRDefault="005F315A" w:rsidP="005F315A">
      <w:pPr>
        <w:rPr>
          <w:color w:val="auto"/>
        </w:rPr>
      </w:pPr>
      <w:r>
        <w:rPr>
          <w:color w:val="auto"/>
        </w:rPr>
        <w:t xml:space="preserve">Aufgabe 2 </w:t>
      </w:r>
      <w:r w:rsidRPr="00D9695A">
        <w:rPr>
          <w:color w:val="auto"/>
        </w:rPr>
        <w:t>–</w:t>
      </w:r>
      <w:r>
        <w:rPr>
          <w:color w:val="auto"/>
        </w:rPr>
        <w:t xml:space="preserve"> (Gruppenarbeit) Führt den oben angegeben Versuch mit Ergänzung eures Gasfä</w:t>
      </w:r>
      <w:r>
        <w:rPr>
          <w:color w:val="auto"/>
        </w:rPr>
        <w:t>n</w:t>
      </w:r>
      <w:r>
        <w:rPr>
          <w:color w:val="auto"/>
        </w:rPr>
        <w:t>gers durch (vorher Rücksprache mit der Lehrperson halten). Notiere deine Beobachtung. Übe</w:t>
      </w:r>
      <w:r>
        <w:rPr>
          <w:color w:val="auto"/>
        </w:rPr>
        <w:t>r</w:t>
      </w:r>
      <w:r>
        <w:rPr>
          <w:color w:val="auto"/>
        </w:rPr>
        <w:t>prüfe, um welches Gas es sich handeln könnte.</w:t>
      </w:r>
    </w:p>
    <w:p w:rsidR="005F315A" w:rsidRPr="00D9695A" w:rsidRDefault="005F315A" w:rsidP="005F315A">
      <w:pPr>
        <w:rPr>
          <w:color w:val="auto"/>
        </w:rPr>
      </w:pPr>
      <w:r>
        <w:rPr>
          <w:noProof/>
          <w:lang w:eastAsia="de-DE"/>
        </w:rPr>
        <mc:AlternateContent>
          <mc:Choice Requires="wps">
            <w:drawing>
              <wp:anchor distT="0" distB="0" distL="114300" distR="114300" simplePos="0" relativeHeight="251660288" behindDoc="1" locked="0" layoutInCell="1" allowOverlap="1" wp14:anchorId="6A7FF35F" wp14:editId="49A86FDC">
                <wp:simplePos x="0" y="0"/>
                <wp:positionH relativeFrom="column">
                  <wp:posOffset>-187276</wp:posOffset>
                </wp:positionH>
                <wp:positionV relativeFrom="paragraph">
                  <wp:posOffset>526621</wp:posOffset>
                </wp:positionV>
                <wp:extent cx="6210300" cy="1294411"/>
                <wp:effectExtent l="0" t="0" r="19050" b="20320"/>
                <wp:wrapNone/>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94411"/>
                        </a:xfrm>
                        <a:prstGeom prst="rect">
                          <a:avLst/>
                        </a:prstGeom>
                        <a:solidFill>
                          <a:srgbClr val="FFFFFF"/>
                        </a:solidFill>
                        <a:ln w="12700">
                          <a:solidFill>
                            <a:srgbClr val="FFC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1" o:spid="_x0000_s1026" style="position:absolute;margin-left:-14.75pt;margin-top:41.45pt;width:489pt;height:10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" strokecolor="#ffc000" strokeweight="1pt">
                <v:stroke dashstyle="dash"/>
                <v:shadow color="#868686"/>
              </v:rect>
            </w:pict>
          </mc:Fallback>
        </mc:AlternateContent>
      </w:r>
      <w:r>
        <w:rPr>
          <w:color w:val="auto"/>
        </w:rPr>
        <w:t>Aufgabe 3</w:t>
      </w:r>
      <w:r w:rsidRPr="00D9695A">
        <w:rPr>
          <w:color w:val="auto"/>
        </w:rPr>
        <w:t xml:space="preserve"> – </w:t>
      </w:r>
      <w:r>
        <w:rPr>
          <w:color w:val="auto"/>
        </w:rPr>
        <w:t>(Gruppenarbeit) Stellt</w:t>
      </w:r>
      <w:r w:rsidRPr="00D9695A">
        <w:rPr>
          <w:color w:val="auto"/>
        </w:rPr>
        <w:t xml:space="preserve"> </w:t>
      </w:r>
      <w:r>
        <w:rPr>
          <w:color w:val="auto"/>
        </w:rPr>
        <w:t xml:space="preserve">die Redoxreaktion in Kurzschreibweise </w:t>
      </w:r>
      <w:r w:rsidRPr="00D9695A">
        <w:rPr>
          <w:color w:val="auto"/>
        </w:rPr>
        <w:t>auf.</w:t>
      </w:r>
      <w:r>
        <w:rPr>
          <w:color w:val="auto"/>
        </w:rPr>
        <w:t xml:space="preserve"> Falls ihr Hilfe benötigt, könnt ihr am Lehrerpult Kärtchen finden, die euch weiterhelfen.</w:t>
      </w:r>
    </w:p>
    <w:p w:rsidR="005F315A" w:rsidRDefault="005F315A" w:rsidP="005F315A">
      <w:pPr>
        <w:rPr>
          <w:color w:val="auto"/>
        </w:rPr>
      </w:pPr>
      <w:r>
        <w:rPr>
          <w:color w:val="auto"/>
        </w:rPr>
        <w:t>Julia arbeitet in einem Restaurant und muss einmal in der Woche das Silberbesteck polieren, da das Besteck nach kurzer Zeit seinen silbernen Glanz verliert. Das heißt, sie muss mithilfe einer Poliercreme das Silberbesteck säubern. Die Arbeit ist sehr anstrengend und zeitaufwendig. D</w:t>
      </w:r>
      <w:r>
        <w:rPr>
          <w:color w:val="auto"/>
        </w:rPr>
        <w:t>a</w:t>
      </w:r>
      <w:r>
        <w:rPr>
          <w:color w:val="auto"/>
        </w:rPr>
        <w:t>her fragt sich Julia, ob es eventuell eine andere Methode gibt, um das Silberbesteck wieder zum Glänzen zu bringen? Kannst du ihr weiterhelfen?</w:t>
      </w:r>
    </w:p>
    <w:p w:rsidR="005F315A" w:rsidRPr="00D9695A" w:rsidRDefault="005F315A" w:rsidP="005F315A">
      <w:pPr>
        <w:rPr>
          <w:color w:val="auto"/>
        </w:rPr>
      </w:pPr>
      <w:r>
        <w:rPr>
          <w:color w:val="auto"/>
        </w:rPr>
        <w:t>Aufgabe 4</w:t>
      </w:r>
      <w:r w:rsidRPr="00D9695A">
        <w:rPr>
          <w:color w:val="auto"/>
        </w:rPr>
        <w:t xml:space="preserve"> –</w:t>
      </w:r>
      <w:r>
        <w:rPr>
          <w:color w:val="auto"/>
        </w:rPr>
        <w:t xml:space="preserve"> (Gruppenarbeit) Plant einen Versuch, damit das Silberbesteck wieder zum Glänzen gebracht werden kann. Begründet eure Antwort mit Hilfe der Redoxreaktion.</w:t>
      </w:r>
    </w:p>
    <w:p w:rsidR="005F315A" w:rsidRDefault="005F315A" w:rsidP="005F315A">
      <w:pPr>
        <w:rPr>
          <w:color w:val="auto"/>
        </w:rPr>
      </w:pPr>
      <w:r w:rsidRPr="00D9695A">
        <w:rPr>
          <w:color w:val="auto"/>
        </w:rPr>
        <w:t>Aufg</w:t>
      </w:r>
      <w:r>
        <w:rPr>
          <w:color w:val="auto"/>
        </w:rPr>
        <w:t>abe 5</w:t>
      </w:r>
      <w:r w:rsidRPr="00D9695A">
        <w:rPr>
          <w:color w:val="auto"/>
        </w:rPr>
        <w:t xml:space="preserve"> – </w:t>
      </w:r>
      <w:r>
        <w:rPr>
          <w:color w:val="auto"/>
        </w:rPr>
        <w:t>Stellt euren geplanten Versuch der Klasse vor.</w:t>
      </w:r>
    </w:p>
    <w:p w:rsidR="005F315A" w:rsidRPr="00D9695A" w:rsidRDefault="005F315A" w:rsidP="005F315A">
      <w:pPr>
        <w:rPr>
          <w:color w:val="auto"/>
        </w:rPr>
      </w:pPr>
    </w:p>
    <w:p w:rsidR="005F315A" w:rsidRPr="00D9695A" w:rsidRDefault="005F315A" w:rsidP="005F315A">
      <w:pPr>
        <w:rPr>
          <w:color w:val="auto"/>
        </w:rPr>
        <w:sectPr w:rsidR="005F315A" w:rsidRPr="00D9695A" w:rsidSect="0049087A">
          <w:headerReference w:type="default" r:id="rId9"/>
          <w:pgSz w:w="11906" w:h="16838"/>
          <w:pgMar w:top="1417" w:right="1417" w:bottom="709" w:left="1417" w:header="708" w:footer="708" w:gutter="0"/>
          <w:pgNumType w:start="0"/>
          <w:cols w:space="708"/>
          <w:docGrid w:linePitch="360"/>
        </w:sectPr>
      </w:pPr>
      <w:r w:rsidRPr="00D9695A">
        <w:rPr>
          <w:color w:val="auto"/>
        </w:rPr>
        <w:t xml:space="preserve"> </w:t>
      </w:r>
    </w:p>
    <w:p w:rsidR="005F315A" w:rsidRPr="00D9695A" w:rsidRDefault="005F315A" w:rsidP="005F315A">
      <w:pPr>
        <w:pStyle w:val="berschrift1"/>
        <w:rPr>
          <w:color w:val="auto"/>
        </w:rPr>
      </w:pPr>
      <w:bookmarkStart w:id="1" w:name="_Toc395738510"/>
      <w:r>
        <w:rPr>
          <w:color w:val="auto"/>
        </w:rPr>
        <w:lastRenderedPageBreak/>
        <w:t>Didaktischer Kommentar zum</w:t>
      </w:r>
      <w:r w:rsidRPr="00D9695A">
        <w:rPr>
          <w:color w:val="auto"/>
        </w:rPr>
        <w:t xml:space="preserve"> Arbeitsblatt</w:t>
      </w:r>
      <w:bookmarkEnd w:id="1"/>
    </w:p>
    <w:p w:rsidR="005F315A" w:rsidRDefault="005F315A" w:rsidP="005F315A">
      <w:pPr>
        <w:rPr>
          <w:color w:val="auto"/>
        </w:rPr>
      </w:pPr>
      <w:r>
        <w:rPr>
          <w:color w:val="auto"/>
        </w:rPr>
        <w:t xml:space="preserve">Das Arbeitsblatt dient als Einstieg in das Thema Korrosion. Zunächst müssen die </w:t>
      </w:r>
      <w:proofErr w:type="spellStart"/>
      <w:r>
        <w:rPr>
          <w:color w:val="auto"/>
        </w:rPr>
        <w:t>SuS</w:t>
      </w:r>
      <w:proofErr w:type="spellEnd"/>
      <w:r>
        <w:rPr>
          <w:color w:val="auto"/>
        </w:rPr>
        <w:t xml:space="preserve"> überlegen, wie sie bei gegeben Versuchsaufbau das entstehende Gas auffangen und überprüfen können. Nach der Versuchsdurchführung, sollen die Beobachtungen protokolliert werden. Auf Grund der vorliegenden Fakten sollen die </w:t>
      </w:r>
      <w:proofErr w:type="spellStart"/>
      <w:r>
        <w:rPr>
          <w:color w:val="auto"/>
        </w:rPr>
        <w:t>SuS</w:t>
      </w:r>
      <w:proofErr w:type="spellEnd"/>
      <w:r>
        <w:rPr>
          <w:color w:val="auto"/>
        </w:rPr>
        <w:t xml:space="preserve"> die Redoxreaktion formulieren. Als Leistungsdifferenzierung können Hilfekärtchen eingesetzt werden. Die Sicherung des Ergebnisses sollte mit Hilfe der Lehrperson an der Tafel erfolgen. Abschließend wird ein Problem dargestellt, wo die </w:t>
      </w:r>
      <w:proofErr w:type="spellStart"/>
      <w:r>
        <w:rPr>
          <w:color w:val="auto"/>
        </w:rPr>
        <w:t>SuS</w:t>
      </w:r>
      <w:proofErr w:type="spellEnd"/>
      <w:r>
        <w:rPr>
          <w:color w:val="auto"/>
        </w:rPr>
        <w:t xml:space="preserve"> ihr Wissen aus dem vorherigen Versuch anwenden sollen.</w:t>
      </w:r>
    </w:p>
    <w:p w:rsidR="005F315A" w:rsidRPr="00D9695A" w:rsidRDefault="005F315A" w:rsidP="005F315A">
      <w:pPr>
        <w:rPr>
          <w:color w:val="auto"/>
        </w:rPr>
      </w:pPr>
      <w:r>
        <w:rPr>
          <w:color w:val="auto"/>
        </w:rPr>
        <w:t xml:space="preserve">Für das Arbeitsblatt wäre es hilfreich, wenn die </w:t>
      </w:r>
      <w:proofErr w:type="spellStart"/>
      <w:r>
        <w:rPr>
          <w:color w:val="auto"/>
        </w:rPr>
        <w:t>SuS</w:t>
      </w:r>
      <w:proofErr w:type="spellEnd"/>
      <w:r>
        <w:rPr>
          <w:color w:val="auto"/>
        </w:rPr>
        <w:t xml:space="preserve"> Vorwissen zu dem Thema Redoxreaktionen haben, damit das Aufstellen von Reaktionsgleichungen erleichtert ist.</w:t>
      </w:r>
    </w:p>
    <w:p w:rsidR="005F315A" w:rsidRPr="00D9695A" w:rsidRDefault="005F315A" w:rsidP="005F315A">
      <w:pPr>
        <w:pStyle w:val="berschrift2"/>
        <w:rPr>
          <w:color w:val="auto"/>
        </w:rPr>
      </w:pPr>
      <w:bookmarkStart w:id="2" w:name="_Toc395738511"/>
      <w:r w:rsidRPr="00D9695A">
        <w:rPr>
          <w:color w:val="auto"/>
        </w:rPr>
        <w:t>Erwartungshorizont (Kerncurriculum)</w:t>
      </w:r>
      <w:bookmarkEnd w:id="2"/>
    </w:p>
    <w:p w:rsidR="005F315A" w:rsidRPr="00D9695A" w:rsidRDefault="005F315A" w:rsidP="005F315A">
      <w:pPr>
        <w:autoSpaceDE w:val="0"/>
        <w:autoSpaceDN w:val="0"/>
        <w:adjustRightInd w:val="0"/>
        <w:spacing w:after="0"/>
        <w:ind w:left="2835" w:hanging="2835"/>
        <w:jc w:val="left"/>
        <w:rPr>
          <w:color w:val="auto"/>
        </w:rPr>
      </w:pPr>
      <w:r w:rsidRPr="00D9695A">
        <w:rPr>
          <w:color w:val="auto"/>
        </w:rPr>
        <w:t>Fachwissen</w:t>
      </w:r>
      <w:r>
        <w:rPr>
          <w:color w:val="auto"/>
        </w:rPr>
        <w:t xml:space="preserve"> (FW)</w:t>
      </w:r>
      <w:r w:rsidRPr="00D9695A">
        <w:rPr>
          <w:color w:val="auto"/>
        </w:rPr>
        <w:t>:</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w:t>
      </w:r>
      <w:r>
        <w:rPr>
          <w:color w:val="auto"/>
        </w:rPr>
        <w:t>erstellen Reaktionsgleichungen durch Anwendung der Kenntnisse über die Erhaltung der Atome und die Bildung ko</w:t>
      </w:r>
      <w:r>
        <w:rPr>
          <w:color w:val="auto"/>
        </w:rPr>
        <w:t>n</w:t>
      </w:r>
      <w:r>
        <w:rPr>
          <w:color w:val="auto"/>
        </w:rPr>
        <w:t>stanter Atomzahlverhältnisse in Verbindung.“</w:t>
      </w:r>
      <w:r w:rsidRPr="00AC4C00">
        <w:rPr>
          <w:color w:val="auto"/>
          <w:vertAlign w:val="superscript"/>
        </w:rPr>
        <w:t>[1]</w:t>
      </w:r>
    </w:p>
    <w:p w:rsidR="005F315A" w:rsidRPr="00D9695A" w:rsidRDefault="005F315A" w:rsidP="005F315A">
      <w:pPr>
        <w:autoSpaceDE w:val="0"/>
        <w:autoSpaceDN w:val="0"/>
        <w:adjustRightInd w:val="0"/>
        <w:spacing w:before="240" w:after="0"/>
        <w:ind w:left="2835" w:hanging="2835"/>
        <w:jc w:val="left"/>
        <w:rPr>
          <w:color w:val="auto"/>
        </w:rPr>
      </w:pPr>
      <w:r w:rsidRPr="00D9695A">
        <w:rPr>
          <w:color w:val="auto"/>
        </w:rPr>
        <w:t>Erkenntnisgewinnung</w:t>
      </w:r>
      <w:r>
        <w:rPr>
          <w:color w:val="auto"/>
        </w:rPr>
        <w:t xml:space="preserve"> (EG)</w:t>
      </w:r>
      <w:r w:rsidRPr="00D9695A">
        <w:rPr>
          <w:color w:val="auto"/>
        </w:rPr>
        <w:t>:</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w:t>
      </w:r>
      <w:r>
        <w:rPr>
          <w:color w:val="auto"/>
        </w:rPr>
        <w:t>planen Überprüfungsexperimente und führen sie unter Beachtung von Sicherheitsaspekten durch.“</w:t>
      </w:r>
      <w:r w:rsidRPr="00AC4C00">
        <w:rPr>
          <w:color w:val="auto"/>
          <w:vertAlign w:val="superscript"/>
        </w:rPr>
        <w:t>[1]</w:t>
      </w:r>
    </w:p>
    <w:p w:rsidR="005F315A" w:rsidRPr="00D9695A" w:rsidRDefault="005F315A" w:rsidP="005F315A">
      <w:pPr>
        <w:autoSpaceDE w:val="0"/>
        <w:autoSpaceDN w:val="0"/>
        <w:adjustRightInd w:val="0"/>
        <w:spacing w:after="0"/>
        <w:ind w:left="2835"/>
        <w:jc w:val="left"/>
        <w:rPr>
          <w:color w:val="auto"/>
        </w:rPr>
      </w:pP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w:t>
      </w:r>
      <w:r>
        <w:rPr>
          <w:color w:val="auto"/>
        </w:rPr>
        <w:t>wenden Nachweisreaktionen an.“</w:t>
      </w:r>
      <w:r w:rsidRPr="00AC4C00">
        <w:rPr>
          <w:color w:val="auto"/>
          <w:vertAlign w:val="superscript"/>
        </w:rPr>
        <w:t>[1]</w:t>
      </w:r>
    </w:p>
    <w:p w:rsidR="005F315A" w:rsidRPr="00D9695A" w:rsidRDefault="005F315A" w:rsidP="005F315A">
      <w:pPr>
        <w:autoSpaceDE w:val="0"/>
        <w:autoSpaceDN w:val="0"/>
        <w:adjustRightInd w:val="0"/>
        <w:spacing w:after="0"/>
        <w:ind w:left="2835"/>
        <w:jc w:val="left"/>
        <w:rPr>
          <w:color w:val="auto"/>
        </w:rPr>
      </w:pP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w:t>
      </w:r>
      <w:r>
        <w:rPr>
          <w:color w:val="auto"/>
        </w:rPr>
        <w:t>führen qualitative und quantitative einfache Experimente durch und protokollieren diese.“</w:t>
      </w:r>
      <w:r w:rsidRPr="00AC4C00">
        <w:rPr>
          <w:color w:val="auto"/>
          <w:vertAlign w:val="superscript"/>
        </w:rPr>
        <w:t>[1]</w:t>
      </w:r>
    </w:p>
    <w:p w:rsidR="005F315A" w:rsidRPr="00D9695A" w:rsidRDefault="005F315A" w:rsidP="005F315A">
      <w:pPr>
        <w:autoSpaceDE w:val="0"/>
        <w:autoSpaceDN w:val="0"/>
        <w:adjustRightInd w:val="0"/>
        <w:spacing w:before="240" w:after="0"/>
        <w:ind w:left="2835" w:hanging="2835"/>
        <w:jc w:val="left"/>
        <w:rPr>
          <w:color w:val="auto"/>
        </w:rPr>
      </w:pPr>
      <w:r w:rsidRPr="00D9695A">
        <w:rPr>
          <w:color w:val="auto"/>
        </w:rPr>
        <w:t>Kommunikation</w:t>
      </w:r>
      <w:r>
        <w:rPr>
          <w:color w:val="auto"/>
        </w:rPr>
        <w:t xml:space="preserve"> (KK)</w:t>
      </w:r>
      <w:r w:rsidRPr="00D9695A">
        <w:rPr>
          <w:color w:val="auto"/>
        </w:rPr>
        <w:t xml:space="preserve">: </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Pr>
          <w:color w:val="auto"/>
        </w:rPr>
        <w:t xml:space="preserve"> präsentieren ihre Arbeit als Team.“</w:t>
      </w:r>
      <w:r w:rsidRPr="00AC4C00">
        <w:rPr>
          <w:color w:val="auto"/>
          <w:vertAlign w:val="superscript"/>
        </w:rPr>
        <w:t>[1]</w:t>
      </w:r>
    </w:p>
    <w:p w:rsidR="005F315A" w:rsidRPr="00D9695A" w:rsidRDefault="005F315A" w:rsidP="005F315A">
      <w:pPr>
        <w:autoSpaceDE w:val="0"/>
        <w:autoSpaceDN w:val="0"/>
        <w:adjustRightInd w:val="0"/>
        <w:spacing w:after="0"/>
        <w:ind w:left="2835"/>
        <w:jc w:val="left"/>
        <w:rPr>
          <w:color w:val="auto"/>
        </w:rPr>
      </w:pP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w:t>
      </w:r>
      <w:r>
        <w:rPr>
          <w:color w:val="auto"/>
        </w:rPr>
        <w:t>argumentieren fachlich korrekt und folgerichtig über ihre Versuche.“</w:t>
      </w:r>
      <w:r w:rsidRPr="00AC4C00">
        <w:rPr>
          <w:color w:val="auto"/>
          <w:vertAlign w:val="superscript"/>
        </w:rPr>
        <w:t>[1]</w:t>
      </w:r>
      <w:r>
        <w:rPr>
          <w:color w:val="auto"/>
        </w:rPr>
        <w:t xml:space="preserve"> </w:t>
      </w:r>
    </w:p>
    <w:p w:rsidR="005F315A" w:rsidRDefault="005F315A" w:rsidP="005F315A">
      <w:pPr>
        <w:autoSpaceDE w:val="0"/>
        <w:autoSpaceDN w:val="0"/>
        <w:adjustRightInd w:val="0"/>
        <w:spacing w:before="240" w:after="0"/>
        <w:ind w:left="2835" w:hanging="2835"/>
        <w:jc w:val="left"/>
        <w:rPr>
          <w:color w:val="auto"/>
        </w:rPr>
      </w:pPr>
      <w:r w:rsidRPr="00D9695A">
        <w:rPr>
          <w:color w:val="auto"/>
        </w:rPr>
        <w:t>Bewertung</w:t>
      </w:r>
      <w:r>
        <w:rPr>
          <w:color w:val="auto"/>
        </w:rPr>
        <w:t xml:space="preserve"> (BW)</w:t>
      </w:r>
      <w:r w:rsidRPr="00D9695A">
        <w:rPr>
          <w:color w:val="auto"/>
        </w:rPr>
        <w:t xml:space="preserve">: </w:t>
      </w:r>
      <w:r w:rsidRPr="00D9695A">
        <w:rPr>
          <w:color w:val="auto"/>
        </w:rPr>
        <w:tab/>
      </w:r>
      <w:r>
        <w:rPr>
          <w:color w:val="auto"/>
        </w:rPr>
        <w:t>„</w:t>
      </w:r>
      <w:r w:rsidRPr="00D9695A">
        <w:rPr>
          <w:color w:val="auto"/>
        </w:rPr>
        <w:t xml:space="preserve">Die </w:t>
      </w:r>
      <w:proofErr w:type="spellStart"/>
      <w:r w:rsidRPr="00D9695A">
        <w:rPr>
          <w:color w:val="auto"/>
        </w:rPr>
        <w:t>SuS</w:t>
      </w:r>
      <w:proofErr w:type="spellEnd"/>
      <w:r w:rsidRPr="00D9695A">
        <w:rPr>
          <w:color w:val="auto"/>
        </w:rPr>
        <w:t xml:space="preserve"> </w:t>
      </w:r>
      <w:r>
        <w:rPr>
          <w:color w:val="auto"/>
        </w:rPr>
        <w:t>erkennen die Bedeutung chemischer Reaktionen für N</w:t>
      </w:r>
      <w:r>
        <w:rPr>
          <w:color w:val="auto"/>
        </w:rPr>
        <w:t>a</w:t>
      </w:r>
      <w:r>
        <w:rPr>
          <w:color w:val="auto"/>
        </w:rPr>
        <w:t>tur und Technik.“</w:t>
      </w:r>
      <w:r w:rsidRPr="00AC4C00">
        <w:rPr>
          <w:color w:val="auto"/>
          <w:vertAlign w:val="superscript"/>
        </w:rPr>
        <w:t>[1]</w:t>
      </w:r>
    </w:p>
    <w:p w:rsidR="005F315A" w:rsidRPr="00D9695A" w:rsidRDefault="005F315A" w:rsidP="005F315A">
      <w:pPr>
        <w:autoSpaceDE w:val="0"/>
        <w:autoSpaceDN w:val="0"/>
        <w:adjustRightInd w:val="0"/>
        <w:spacing w:before="240" w:after="0"/>
        <w:rPr>
          <w:color w:val="auto"/>
        </w:rPr>
      </w:pPr>
      <w:r>
        <w:rPr>
          <w:color w:val="auto"/>
        </w:rPr>
        <w:t>Für die Förderung des Anforderungsbereich I (Wiedergeben und beschreiben) ist der Versuch und seine Dokumentation vorgesehen. Der Anforderungsbereich II (Anwenden und strukturi</w:t>
      </w:r>
      <w:r>
        <w:rPr>
          <w:color w:val="auto"/>
        </w:rPr>
        <w:t>e</w:t>
      </w:r>
      <w:r>
        <w:rPr>
          <w:color w:val="auto"/>
        </w:rPr>
        <w:t xml:space="preserve">ren) soll vor allen mit den Aufgaben 1, 2 und 3 gefördert werden. Hierbei sollen die </w:t>
      </w:r>
      <w:proofErr w:type="spellStart"/>
      <w:r>
        <w:rPr>
          <w:color w:val="auto"/>
        </w:rPr>
        <w:t>SuS</w:t>
      </w:r>
      <w:proofErr w:type="spellEnd"/>
      <w:r>
        <w:rPr>
          <w:color w:val="auto"/>
        </w:rPr>
        <w:t xml:space="preserve"> be</w:t>
      </w:r>
      <w:r>
        <w:rPr>
          <w:color w:val="auto"/>
        </w:rPr>
        <w:t>i</w:t>
      </w:r>
      <w:r>
        <w:rPr>
          <w:color w:val="auto"/>
        </w:rPr>
        <w:t>spielsweise ein einfaches Experiment planen und durchführen. Mit Hilfe der Aufgaben 4 und 5 soll der Anforderungsbereich III (Transferieren und verknüpfen) hauptsächlich gefördert werden. Es muss ein Transfer der Versuchsdurchführung auf einen anderen Sachverhalt durchg</w:t>
      </w:r>
      <w:r>
        <w:rPr>
          <w:color w:val="auto"/>
        </w:rPr>
        <w:t>e</w:t>
      </w:r>
      <w:r>
        <w:rPr>
          <w:color w:val="auto"/>
        </w:rPr>
        <w:t>führt werden.</w:t>
      </w:r>
    </w:p>
    <w:p w:rsidR="005F315A" w:rsidRPr="00D9695A" w:rsidRDefault="005F315A" w:rsidP="005F315A">
      <w:pPr>
        <w:pStyle w:val="berschrift2"/>
        <w:rPr>
          <w:color w:val="auto"/>
        </w:rPr>
      </w:pPr>
      <w:bookmarkStart w:id="3" w:name="_Toc395738512"/>
      <w:r w:rsidRPr="00D9695A">
        <w:rPr>
          <w:color w:val="auto"/>
        </w:rPr>
        <w:lastRenderedPageBreak/>
        <w:t>Erwartungshorizont (Inhaltlich)</w:t>
      </w:r>
      <w:bookmarkEnd w:id="3"/>
    </w:p>
    <w:p w:rsidR="005F315A" w:rsidRPr="00D9695A" w:rsidRDefault="005F315A" w:rsidP="005F315A">
      <w:pPr>
        <w:rPr>
          <w:color w:val="auto"/>
        </w:rPr>
      </w:pPr>
      <w:r w:rsidRPr="00D9695A">
        <w:rPr>
          <w:b/>
          <w:color w:val="auto"/>
        </w:rPr>
        <w:t>Aufgabe 1</w:t>
      </w:r>
      <w:r w:rsidRPr="00D9695A">
        <w:rPr>
          <w:color w:val="auto"/>
        </w:rPr>
        <w:t xml:space="preserve"> – </w:t>
      </w:r>
      <w:r>
        <w:rPr>
          <w:color w:val="auto"/>
        </w:rPr>
        <w:t>Mit Hilfe eines Trichters an dem ein Schlauch befestigt ist, kann das Gas aufgefa</w:t>
      </w:r>
      <w:r>
        <w:rPr>
          <w:color w:val="auto"/>
        </w:rPr>
        <w:t>n</w:t>
      </w:r>
      <w:r>
        <w:rPr>
          <w:color w:val="auto"/>
        </w:rPr>
        <w:t>gen werden.</w:t>
      </w:r>
    </w:p>
    <w:p w:rsidR="005F315A" w:rsidRDefault="005F315A" w:rsidP="005F315A">
      <w:pPr>
        <w:spacing w:after="0"/>
        <w:rPr>
          <w:color w:val="auto"/>
        </w:rPr>
      </w:pPr>
      <w:r w:rsidRPr="00D9695A">
        <w:rPr>
          <w:b/>
          <w:color w:val="auto"/>
        </w:rPr>
        <w:t>Aufgabe 2</w:t>
      </w:r>
      <w:r w:rsidRPr="00D9695A">
        <w:rPr>
          <w:color w:val="auto"/>
        </w:rPr>
        <w:t xml:space="preserve"> – </w:t>
      </w:r>
      <w:r>
        <w:t>Bei Kontakt der beiden Metalle steigen Gasblasen auf. Die Knallgasprobe ist positiv. Das Aluminium fängt an sich aufzulösen und es bildet sich ein weißer Niederschlag. Die Stellen des Kupferblechs, welche mit der Lösung in Kontakt standen, sind stark glänzend. Die zweite Aluminiumfolie ohne Kupferrohr zeigt keine Reaktion.</w:t>
      </w:r>
    </w:p>
    <w:p w:rsidR="005F315A" w:rsidRDefault="005F315A" w:rsidP="005F315A">
      <w:pPr>
        <w:rPr>
          <w:rFonts w:eastAsiaTheme="minorEastAsia"/>
        </w:rPr>
      </w:pPr>
      <w:r w:rsidRPr="00BC63CC">
        <w:rPr>
          <w:b/>
          <w:color w:val="auto"/>
        </w:rPr>
        <w:t xml:space="preserve">Aufgabe 3 </w:t>
      </w:r>
      <w:r w:rsidRPr="00BC63CC">
        <w:rPr>
          <w:color w:val="auto"/>
        </w:rPr>
        <w:t xml:space="preserve">– Oxidation: </w:t>
      </w:r>
      <w:r w:rsidRPr="00BC63CC">
        <w:rPr>
          <w:color w:val="auto"/>
        </w:rPr>
        <w:tab/>
      </w:r>
      <m:oMath>
        <m:r>
          <w:rPr>
            <w:rFonts w:ascii="Cambria Math" w:eastAsiaTheme="minorEastAsia" w:hAnsi="Cambria Math"/>
          </w:rPr>
          <m:t xml:space="preserve">2 </m:t>
        </m:r>
        <m:r>
          <w:rPr>
            <w:rFonts w:ascii="Cambria Math" w:hAnsi="Cambria Math"/>
          </w:rPr>
          <m:t>Al→</m:t>
        </m:r>
        <m:sSup>
          <m:sSupPr>
            <m:ctrlPr>
              <w:rPr>
                <w:rFonts w:ascii="Cambria Math" w:hAnsi="Cambria Math"/>
                <w:i/>
              </w:rPr>
            </m:ctrlPr>
          </m:sSupPr>
          <m:e>
            <m:r>
              <w:rPr>
                <w:rFonts w:ascii="Cambria Math" w:hAnsi="Cambria Math"/>
              </w:rPr>
              <m:t>2 Al</m:t>
            </m:r>
          </m:e>
          <m:sup>
            <m:r>
              <w:rPr>
                <w:rFonts w:ascii="Cambria Math" w:hAnsi="Cambria Math"/>
              </w:rPr>
              <m:t>3+</m:t>
            </m:r>
          </m:sup>
        </m:sSup>
        <m:r>
          <w:rPr>
            <w:rFonts w:ascii="Cambria Math" w:hAnsi="Cambria Math"/>
          </w:rPr>
          <m:t xml:space="preserve">+6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5F315A" w:rsidRDefault="005F315A" w:rsidP="005F315A">
      <w:pPr>
        <w:ind w:left="1276"/>
        <w:rPr>
          <w:rFonts w:eastAsiaTheme="minorEastAsia"/>
        </w:rPr>
      </w:pPr>
      <w:r>
        <w:rPr>
          <w:rFonts w:eastAsiaTheme="minorEastAsia"/>
        </w:rPr>
        <w:t>Reduktion:</w:t>
      </w:r>
      <w:r>
        <w:rPr>
          <w:rFonts w:eastAsiaTheme="minorEastAsia"/>
        </w:rPr>
        <w:tab/>
      </w:r>
      <m:oMath>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hAnsi="Cambria Math"/>
          </w:rPr>
          <m:t xml:space="preserve">O+6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→3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+6 </m:t>
        </m:r>
        <m:sSup>
          <m:sSupPr>
            <m:ctrlPr>
              <w:rPr>
                <w:rFonts w:ascii="Cambria Math" w:hAnsi="Cambria Math"/>
                <w:i/>
              </w:rPr>
            </m:ctrlPr>
          </m:sSupPr>
          <m:e>
            <m:r>
              <w:rPr>
                <w:rFonts w:ascii="Cambria Math" w:hAnsi="Cambria Math"/>
              </w:rPr>
              <m:t>OH</m:t>
            </m:r>
          </m:e>
          <m:sup>
            <m:r>
              <w:rPr>
                <w:rFonts w:ascii="Cambria Math" w:hAnsi="Cambria Math"/>
              </w:rPr>
              <m:t>-</m:t>
            </m:r>
          </m:sup>
        </m:sSup>
      </m:oMath>
    </w:p>
    <w:p w:rsidR="005F315A" w:rsidRDefault="005F315A" w:rsidP="005F315A">
      <w:pPr>
        <w:ind w:left="1276"/>
        <w:rPr>
          <w:rFonts w:eastAsiaTheme="minorEastAsia"/>
        </w:rPr>
      </w:pPr>
      <w:r>
        <w:rPr>
          <w:rFonts w:eastAsiaTheme="minorEastAsia"/>
        </w:rPr>
        <w:t>Insgesamt:</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 Al</m:t>
            </m:r>
          </m:e>
          <m:sub>
            <m:r>
              <w:rPr>
                <w:rFonts w:ascii="Cambria Math" w:eastAsiaTheme="minorEastAsia" w:hAnsi="Cambria Math"/>
              </w:rPr>
              <m:t>(s)</m:t>
            </m:r>
          </m:sub>
        </m:sSub>
        <m:r>
          <w:rPr>
            <w:rFonts w:ascii="Cambria Math" w:eastAsiaTheme="minorEastAsia" w:hAnsi="Cambria Math"/>
          </w:rPr>
          <m:t xml:space="preserve">+6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r>
          <m:rPr>
            <m:sty m:val="p"/>
          </m:rPr>
          <w:rPr>
            <w:rFonts w:ascii="Cambria Math" w:hAnsi="Cambria Math"/>
            <w:noProof/>
            <w:lang w:eastAsia="de-DE"/>
          </w:rPr>
          <w:drawing>
            <wp:inline distT="0" distB="0" distL="0" distR="0" wp14:anchorId="3F1B8FC9" wp14:editId="1F67E664">
              <wp:extent cx="351155" cy="106045"/>
              <wp:effectExtent l="0" t="0" r="0" b="8255"/>
              <wp:docPr id="24" name="Grafik 24" descr="C:\Users\Nele\Desktop\Neuer Ordner\Reaktions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e\Desktop\Neuer Ordner\Reaktionspfeil.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51155" cy="106045"/>
                      </a:xfrm>
                      <a:prstGeom prst="rect">
                        <a:avLst/>
                      </a:prstGeom>
                      <a:noFill/>
                      <a:ln>
                        <a:noFill/>
                      </a:ln>
                    </pic:spPr>
                  </pic:pic>
                </a:graphicData>
              </a:graphic>
            </wp:inline>
          </w:drawing>
        </m:r>
        <m:r>
          <w:rPr>
            <w:rFonts w:ascii="Cambria Math" w:eastAsiaTheme="minorEastAsia" w:hAnsi="Cambria Math"/>
          </w:rPr>
          <m:t xml:space="preserve">2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Al</m:t>
                </m:r>
              </m:e>
              <m:sup>
                <m:r>
                  <w:rPr>
                    <w:rFonts w:ascii="Cambria Math" w:eastAsiaTheme="minorEastAsia" w:hAnsi="Cambria Math"/>
                  </w:rPr>
                  <m:t>3+</m:t>
                </m:r>
              </m:sup>
            </m:sSup>
          </m:e>
          <m:sub>
            <m:r>
              <w:rPr>
                <w:rFonts w:ascii="Cambria Math" w:eastAsiaTheme="minorEastAsia" w:hAnsi="Cambria Math"/>
              </w:rPr>
              <m:t>(aq)</m:t>
            </m:r>
          </m:sub>
        </m:sSub>
        <m:r>
          <w:rPr>
            <w:rFonts w:ascii="Cambria Math" w:eastAsiaTheme="minorEastAsia" w:hAnsi="Cambria Math"/>
          </w:rPr>
          <m:t xml:space="preserve">+6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sub>
            <m:r>
              <w:rPr>
                <w:rFonts w:ascii="Cambria Math" w:eastAsiaTheme="minorEastAsia" w:hAnsi="Cambria Math"/>
              </w:rPr>
              <m:t>(aq)</m:t>
            </m:r>
          </m:sub>
        </m:sSub>
        <m:r>
          <w:rPr>
            <w:rFonts w:ascii="Cambria Math" w:eastAsiaTheme="minorEastAsia" w:hAnsi="Cambria Math"/>
          </w:rPr>
          <m:t xml:space="preserve">+3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r>
              <w:rPr>
                <w:rFonts w:ascii="Cambria Math" w:eastAsiaTheme="minorEastAsia" w:hAnsi="Cambria Math"/>
              </w:rPr>
              <m:t>(g)</m:t>
            </m:r>
          </m:sub>
        </m:sSub>
      </m:oMath>
    </w:p>
    <w:p w:rsidR="005F315A" w:rsidRPr="00125B34" w:rsidRDefault="005F315A" w:rsidP="005F315A">
      <w:pPr>
        <w:ind w:left="1276"/>
        <w:rPr>
          <w:color w:val="auto"/>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 Al</m:t>
            </m:r>
          </m:e>
          <m:sub>
            <m:r>
              <w:rPr>
                <w:rFonts w:ascii="Cambria Math" w:eastAsiaTheme="minorEastAsia" w:hAnsi="Cambria Math"/>
              </w:rPr>
              <m:t>(s)</m:t>
            </m:r>
          </m:sub>
        </m:sSub>
        <m:r>
          <w:rPr>
            <w:rFonts w:ascii="Cambria Math" w:eastAsiaTheme="minorEastAsia" w:hAnsi="Cambria Math"/>
          </w:rPr>
          <m:t xml:space="preserve">+6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r>
          <m:rPr>
            <m:sty m:val="p"/>
          </m:rPr>
          <w:rPr>
            <w:rFonts w:ascii="Cambria Math" w:hAnsi="Cambria Math"/>
            <w:noProof/>
            <w:lang w:eastAsia="de-DE"/>
          </w:rPr>
          <w:drawing>
            <wp:inline distT="0" distB="0" distL="0" distR="0" wp14:anchorId="0A9DF698" wp14:editId="6909D818">
              <wp:extent cx="351155" cy="106045"/>
              <wp:effectExtent l="0" t="0" r="0" b="8255"/>
              <wp:docPr id="20" name="Grafik 20" descr="C:\Users\Nele\Desktop\Neuer Ordner\Reaktions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e\Desktop\Neuer Ordner\Reaktionspfeil.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51155" cy="106045"/>
                      </a:xfrm>
                      <a:prstGeom prst="rect">
                        <a:avLst/>
                      </a:prstGeom>
                      <a:noFill/>
                      <a:ln>
                        <a:noFill/>
                      </a:ln>
                    </pic:spPr>
                  </pic:pic>
                </a:graphicData>
              </a:graphic>
            </wp:inline>
          </w:drawing>
        </m:r>
        <m:sSub>
          <m:sSubPr>
            <m:ctrlPr>
              <w:rPr>
                <w:rFonts w:ascii="Cambria Math" w:eastAsiaTheme="minorEastAsia" w:hAnsi="Cambria Math"/>
                <w:i/>
              </w:rPr>
            </m:ctrlPr>
          </m:sSubPr>
          <m:e>
            <m:r>
              <w:rPr>
                <w:rFonts w:ascii="Cambria Math" w:eastAsiaTheme="minorEastAsia" w:hAnsi="Cambria Math"/>
              </w:rPr>
              <m:t>2 Al</m:t>
            </m:r>
            <m:sSub>
              <m:sSubPr>
                <m:ctrlPr>
                  <w:rPr>
                    <w:rFonts w:ascii="Cambria Math" w:eastAsiaTheme="minorEastAsia" w:hAnsi="Cambria Math"/>
                    <w:i/>
                  </w:rPr>
                </m:ctrlPr>
              </m:sSubPr>
              <m:e>
                <m:r>
                  <w:rPr>
                    <w:rFonts w:ascii="Cambria Math" w:eastAsiaTheme="minorEastAsia" w:hAnsi="Cambria Math"/>
                  </w:rPr>
                  <m:t>(OH)</m:t>
                </m:r>
              </m:e>
              <m:sub>
                <m:r>
                  <w:rPr>
                    <w:rFonts w:ascii="Cambria Math" w:eastAsiaTheme="minorEastAsia" w:hAnsi="Cambria Math"/>
                  </w:rPr>
                  <m:t>3</m:t>
                </m:r>
              </m:sub>
            </m:sSub>
          </m:e>
          <m:sub>
            <m:r>
              <w:rPr>
                <w:rFonts w:ascii="Cambria Math" w:eastAsiaTheme="minorEastAsia" w:hAnsi="Cambria Math"/>
              </w:rPr>
              <m:t>(s)</m:t>
            </m:r>
          </m:sub>
        </m:sSub>
        <m:r>
          <w:rPr>
            <w:rFonts w:ascii="Cambria Math" w:eastAsiaTheme="minorEastAsia" w:hAnsi="Cambria Math"/>
          </w:rPr>
          <m:t xml:space="preserve">+3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r>
              <w:rPr>
                <w:rFonts w:ascii="Cambria Math" w:eastAsiaTheme="minorEastAsia" w:hAnsi="Cambria Math"/>
              </w:rPr>
              <m:t>(g)</m:t>
            </m:r>
          </m:sub>
        </m:sSub>
      </m:oMath>
    </w:p>
    <w:p w:rsidR="005F315A" w:rsidRDefault="005F315A" w:rsidP="005F315A">
      <w:pPr>
        <w:rPr>
          <w:color w:val="auto"/>
        </w:rPr>
      </w:pPr>
      <w:r w:rsidRPr="008A1866">
        <w:rPr>
          <w:b/>
          <w:color w:val="auto"/>
        </w:rPr>
        <w:t>Aufgabe 4</w:t>
      </w:r>
      <w:r w:rsidRPr="00D9695A">
        <w:rPr>
          <w:color w:val="auto"/>
        </w:rPr>
        <w:t xml:space="preserve"> –</w:t>
      </w:r>
      <w:r>
        <w:rPr>
          <w:color w:val="auto"/>
        </w:rPr>
        <w:t xml:space="preserve"> Anstelle des Kupferblechs wird das Silberbesteck genommen. Zudem sollte ein G</w:t>
      </w:r>
      <w:r>
        <w:rPr>
          <w:color w:val="auto"/>
        </w:rPr>
        <w:t>e</w:t>
      </w:r>
      <w:r>
        <w:rPr>
          <w:color w:val="auto"/>
        </w:rPr>
        <w:t xml:space="preserve">fäß verwendet werden, damit das Silberbesteck mit der Flüssigkeit bedeckt werden kann. </w:t>
      </w:r>
    </w:p>
    <w:p w:rsidR="005F315A" w:rsidRDefault="005F315A" w:rsidP="005F315A">
      <w:pPr>
        <w:autoSpaceDE w:val="0"/>
        <w:autoSpaceDN w:val="0"/>
        <w:adjustRightInd w:val="0"/>
        <w:spacing w:before="240" w:after="0"/>
        <w:jc w:val="left"/>
        <w:rPr>
          <w:color w:val="auto"/>
        </w:rPr>
      </w:pPr>
      <w:r w:rsidRPr="008A1866">
        <w:rPr>
          <w:b/>
          <w:color w:val="auto"/>
        </w:rPr>
        <w:t>Aufgabe 5</w:t>
      </w:r>
      <w:r w:rsidRPr="00D9695A">
        <w:rPr>
          <w:color w:val="auto"/>
        </w:rPr>
        <w:t xml:space="preserve"> – </w:t>
      </w:r>
      <w:r>
        <w:rPr>
          <w:color w:val="auto"/>
        </w:rPr>
        <w:t xml:space="preserve">Die </w:t>
      </w:r>
      <w:proofErr w:type="spellStart"/>
      <w:r>
        <w:rPr>
          <w:color w:val="auto"/>
        </w:rPr>
        <w:t>SuS</w:t>
      </w:r>
      <w:proofErr w:type="spellEnd"/>
      <w:r>
        <w:rPr>
          <w:color w:val="auto"/>
        </w:rPr>
        <w:t xml:space="preserve"> stellen als Team ihre Ergebnisse der Klasse vor.</w:t>
      </w:r>
      <w:r w:rsidRPr="00060ECC">
        <w:rPr>
          <w:color w:val="auto"/>
        </w:rPr>
        <w:t xml:space="preserve"> </w:t>
      </w:r>
      <w:r>
        <w:rPr>
          <w:color w:val="auto"/>
        </w:rPr>
        <w:t>Hierbei sollten sie fachlich korrekt und folgerichtig ihren Versuch vorstellen.</w:t>
      </w:r>
    </w:p>
    <w:p w:rsidR="005F315A" w:rsidRDefault="005F315A" w:rsidP="005F315A">
      <w:pPr>
        <w:autoSpaceDE w:val="0"/>
        <w:autoSpaceDN w:val="0"/>
        <w:adjustRightInd w:val="0"/>
        <w:spacing w:before="240" w:after="0"/>
        <w:jc w:val="left"/>
        <w:rPr>
          <w:color w:val="auto"/>
        </w:rPr>
      </w:pPr>
    </w:p>
    <w:p w:rsidR="005F315A" w:rsidRDefault="005F315A" w:rsidP="005F315A">
      <w:pPr>
        <w:tabs>
          <w:tab w:val="left" w:pos="0"/>
        </w:tabs>
        <w:spacing w:after="0"/>
        <w:jc w:val="left"/>
        <w:rPr>
          <w:color w:val="auto"/>
        </w:rPr>
      </w:pPr>
      <w:r>
        <w:t xml:space="preserve">Literatur: [1] </w:t>
      </w:r>
      <w:r>
        <w:rPr>
          <w:color w:val="auto"/>
        </w:rPr>
        <w:t xml:space="preserve">Niedersächsisches Kultusministerium (Hrsg.), </w:t>
      </w:r>
    </w:p>
    <w:p w:rsidR="005F315A" w:rsidRDefault="005F315A" w:rsidP="005F315A">
      <w:pPr>
        <w:tabs>
          <w:tab w:val="left" w:pos="0"/>
        </w:tabs>
        <w:spacing w:after="0"/>
        <w:jc w:val="left"/>
        <w:rPr>
          <w:color w:val="auto"/>
        </w:rPr>
      </w:pPr>
      <w:r>
        <w:rPr>
          <w:color w:val="auto"/>
        </w:rPr>
        <w:t>http://db2.nibis.de/1db/cuvo/datei/kc_gym_nws_07_nib.pdf, 2007 (Zuletzt abgerufen am 13.08.2014 um 22:30 Uhr).</w:t>
      </w:r>
    </w:p>
    <w:p w:rsidR="005F315A" w:rsidRPr="005B60E3" w:rsidRDefault="005F315A" w:rsidP="005F315A">
      <w:pPr>
        <w:autoSpaceDE w:val="0"/>
        <w:autoSpaceDN w:val="0"/>
        <w:adjustRightInd w:val="0"/>
        <w:spacing w:before="240" w:after="0"/>
        <w:jc w:val="left"/>
        <w:rPr>
          <w:color w:val="1F497D" w:themeColor="text2"/>
        </w:rPr>
      </w:pPr>
    </w:p>
    <w:p w:rsidR="00A97FD0" w:rsidRDefault="00A97FD0"/>
    <w:sectPr w:rsidR="00A97FD0" w:rsidSect="00275642">
      <w:headerReference w:type="default" r:id="rId11"/>
      <w:footerReference w:type="default" r:id="rId12"/>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6B" w:rsidRDefault="00470C6B" w:rsidP="005F315A">
      <w:pPr>
        <w:spacing w:after="0" w:line="240" w:lineRule="auto"/>
      </w:pPr>
      <w:r>
        <w:separator/>
      </w:r>
    </w:p>
  </w:endnote>
  <w:endnote w:type="continuationSeparator" w:id="0">
    <w:p w:rsidR="00470C6B" w:rsidRDefault="00470C6B" w:rsidP="005F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3" w:rsidRPr="00E611B0" w:rsidRDefault="00470C6B" w:rsidP="00E611B0">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6B" w:rsidRDefault="00470C6B" w:rsidP="005F315A">
      <w:pPr>
        <w:spacing w:after="0" w:line="240" w:lineRule="auto"/>
      </w:pPr>
      <w:r>
        <w:separator/>
      </w:r>
    </w:p>
  </w:footnote>
  <w:footnote w:type="continuationSeparator" w:id="0">
    <w:p w:rsidR="00470C6B" w:rsidRDefault="00470C6B" w:rsidP="005F3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3" w:rsidRPr="00337B69" w:rsidRDefault="00470C6B"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3" w:rsidRPr="0080101C" w:rsidRDefault="00470C6B"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5A"/>
    <w:rsid w:val="00047CAF"/>
    <w:rsid w:val="00152CE4"/>
    <w:rsid w:val="00470C6B"/>
    <w:rsid w:val="005F315A"/>
    <w:rsid w:val="00767BC8"/>
    <w:rsid w:val="008371B2"/>
    <w:rsid w:val="00A97FD0"/>
    <w:rsid w:val="00AF3D99"/>
    <w:rsid w:val="00D8371B"/>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315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F315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F315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F315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F315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F315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F315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F31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F31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F31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5F315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F315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F315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F31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F31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F31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F31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F31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F315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5F31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15A"/>
    <w:rPr>
      <w:rFonts w:ascii="Cambria" w:hAnsi="Cambria"/>
      <w:color w:val="1D1B11" w:themeColor="background2" w:themeShade="1A"/>
    </w:rPr>
  </w:style>
  <w:style w:type="paragraph" w:styleId="Fuzeile">
    <w:name w:val="footer"/>
    <w:basedOn w:val="Standard"/>
    <w:link w:val="FuzeileZchn"/>
    <w:uiPriority w:val="99"/>
    <w:unhideWhenUsed/>
    <w:rsid w:val="005F31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15A"/>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5F31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15A"/>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315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F315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F315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F315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F315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F315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F315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F31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F31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F31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5F315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F315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F315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F315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F315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F315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F315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F315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F315A"/>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5F31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15A"/>
    <w:rPr>
      <w:rFonts w:ascii="Cambria" w:hAnsi="Cambria"/>
      <w:color w:val="1D1B11" w:themeColor="background2" w:themeShade="1A"/>
    </w:rPr>
  </w:style>
  <w:style w:type="paragraph" w:styleId="Fuzeile">
    <w:name w:val="footer"/>
    <w:basedOn w:val="Standard"/>
    <w:link w:val="FuzeileZchn"/>
    <w:uiPriority w:val="99"/>
    <w:unhideWhenUsed/>
    <w:rsid w:val="005F31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15A"/>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5F31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15A"/>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1</cp:revision>
  <dcterms:created xsi:type="dcterms:W3CDTF">2014-08-26T22:26:00Z</dcterms:created>
  <dcterms:modified xsi:type="dcterms:W3CDTF">2014-08-26T22:27:00Z</dcterms:modified>
</cp:coreProperties>
</file>