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A1" w:rsidRPr="00B426A1" w:rsidRDefault="00C312FB" w:rsidP="00B426A1">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8" type="#_x0000_t202" style="position:absolute;left:0;text-align:left;margin-left:-.05pt;margin-top:54.15pt;width:462.45pt;height:62.75pt;z-index:251660288;mso-width-relative:margin;mso-height-relative:margin" fillcolor="white [3201]" strokecolor="#4bacc6 [3208]" strokeweight="1pt">
            <v:stroke dashstyle="dash"/>
            <v:shadow color="#868686"/>
            <v:textbox style="mso-next-textbox:#_x0000_s1028">
              <w:txbxContent>
                <w:p w:rsidR="00B426A1" w:rsidRPr="000D10FB" w:rsidRDefault="00B426A1" w:rsidP="00B426A1">
                  <w:pPr>
                    <w:rPr>
                      <w:color w:val="1F497D" w:themeColor="text2"/>
                    </w:rPr>
                  </w:pPr>
                  <w:r>
                    <w:rPr>
                      <w:color w:val="1F497D" w:themeColor="text2"/>
                    </w:rPr>
                    <w:t>In diesem Versuch soll den SuS der Prozess der Verbrennung bzw. der Oxidation anhand des Schwefels verdeutlicht werden. Mit einem Indikator wird dabei die Reaktion des entstandenen Nichtmetalloxids mit Wasser zur Schwefelsäure veranschaulicht.</w:t>
                  </w:r>
                </w:p>
              </w:txbxContent>
            </v:textbox>
            <w10:wrap type="square"/>
          </v:shape>
        </w:pict>
      </w:r>
      <w:bookmarkStart w:id="0" w:name="_Toc395630852"/>
      <w:r w:rsidR="00B426A1" w:rsidRPr="00B426A1">
        <w:rPr>
          <w:sz w:val="28"/>
        </w:rPr>
        <w:t>V 1 – Reaktion von Schwefel / rotem Phosphor mit Sauerstoff</w:t>
      </w:r>
      <w:bookmarkEnd w:id="0"/>
    </w:p>
    <w:p w:rsidR="00B426A1" w:rsidRDefault="00B426A1" w:rsidP="00B426A1"/>
    <w:tbl>
      <w:tblPr>
        <w:tblW w:w="0" w:type="auto"/>
        <w:tblBorders>
          <w:top w:val="single" w:sz="8" w:space="0" w:color="4F81BD"/>
          <w:left w:val="single" w:sz="8" w:space="0" w:color="4F81BD"/>
          <w:bottom w:val="single" w:sz="8" w:space="0" w:color="4F81BD"/>
          <w:right w:val="single" w:sz="8" w:space="0" w:color="4F81BD"/>
        </w:tblBorders>
        <w:tblLook w:val="04A0"/>
      </w:tblPr>
      <w:tblGrid>
        <w:gridCol w:w="1034"/>
        <w:gridCol w:w="1016"/>
        <w:gridCol w:w="1034"/>
        <w:gridCol w:w="1010"/>
        <w:gridCol w:w="995"/>
        <w:gridCol w:w="1010"/>
        <w:gridCol w:w="1010"/>
        <w:gridCol w:w="1021"/>
        <w:gridCol w:w="1010"/>
      </w:tblGrid>
      <w:tr w:rsidR="00B426A1" w:rsidRPr="009C5E28" w:rsidTr="00197F45">
        <w:tc>
          <w:tcPr>
            <w:tcW w:w="0" w:type="auto"/>
            <w:gridSpan w:val="9"/>
            <w:shd w:val="clear" w:color="auto" w:fill="4F81BD"/>
            <w:vAlign w:val="center"/>
          </w:tcPr>
          <w:p w:rsidR="00B426A1" w:rsidRPr="009C5E28" w:rsidRDefault="00B426A1" w:rsidP="00D627A7">
            <w:pPr>
              <w:spacing w:after="0"/>
              <w:jc w:val="center"/>
              <w:rPr>
                <w:b/>
                <w:bCs/>
              </w:rPr>
            </w:pPr>
            <w:r w:rsidRPr="009C5E28">
              <w:rPr>
                <w:b/>
                <w:bCs/>
              </w:rPr>
              <w:t>Gefahrenstoffe</w:t>
            </w:r>
          </w:p>
        </w:tc>
      </w:tr>
      <w:tr w:rsidR="00B426A1" w:rsidRPr="009C5E28" w:rsidTr="00197F4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426A1" w:rsidRPr="003B11B0" w:rsidRDefault="00B426A1" w:rsidP="00D627A7">
            <w:pPr>
              <w:spacing w:after="0" w:line="276" w:lineRule="auto"/>
              <w:jc w:val="center"/>
              <w:rPr>
                <w:b/>
                <w:bCs/>
              </w:rPr>
            </w:pPr>
            <w:r w:rsidRPr="003B11B0">
              <w:t>Schwefel</w:t>
            </w:r>
          </w:p>
        </w:tc>
        <w:tc>
          <w:tcPr>
            <w:tcW w:w="0" w:type="auto"/>
            <w:gridSpan w:val="3"/>
            <w:tcBorders>
              <w:top w:val="single" w:sz="8" w:space="0" w:color="4F81BD"/>
              <w:bottom w:val="single" w:sz="8" w:space="0" w:color="4F81BD"/>
            </w:tcBorders>
            <w:shd w:val="clear" w:color="auto" w:fill="auto"/>
            <w:vAlign w:val="center"/>
          </w:tcPr>
          <w:p w:rsidR="00B426A1" w:rsidRPr="003B11B0" w:rsidRDefault="00B426A1" w:rsidP="00D627A7">
            <w:pPr>
              <w:spacing w:after="0"/>
              <w:jc w:val="center"/>
            </w:pPr>
            <w:r w:rsidRPr="003B11B0">
              <w:t>H: 315</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426A1" w:rsidRPr="003B11B0" w:rsidRDefault="00B426A1" w:rsidP="00D627A7">
            <w:pPr>
              <w:spacing w:after="0"/>
              <w:jc w:val="center"/>
            </w:pPr>
            <w:r w:rsidRPr="003B11B0">
              <w:t>--</w:t>
            </w:r>
          </w:p>
        </w:tc>
      </w:tr>
      <w:tr w:rsidR="00B426A1" w:rsidRPr="009C5E28" w:rsidTr="00197F4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426A1" w:rsidRPr="003B11B0" w:rsidRDefault="00B426A1" w:rsidP="00D627A7">
            <w:pPr>
              <w:spacing w:after="0" w:line="276" w:lineRule="auto"/>
              <w:jc w:val="center"/>
            </w:pPr>
            <w:proofErr w:type="spellStart"/>
            <w:r w:rsidRPr="00072DC7">
              <w:t>Thymolblau</w:t>
            </w:r>
            <w:proofErr w:type="spellEnd"/>
          </w:p>
        </w:tc>
        <w:tc>
          <w:tcPr>
            <w:tcW w:w="0" w:type="auto"/>
            <w:gridSpan w:val="3"/>
            <w:tcBorders>
              <w:top w:val="single" w:sz="8" w:space="0" w:color="4F81BD"/>
              <w:bottom w:val="single" w:sz="8" w:space="0" w:color="4F81BD"/>
            </w:tcBorders>
            <w:shd w:val="clear" w:color="auto" w:fill="auto"/>
            <w:vAlign w:val="center"/>
          </w:tcPr>
          <w:p w:rsidR="00B426A1" w:rsidRPr="003B11B0" w:rsidRDefault="00B426A1" w:rsidP="00D627A7">
            <w:pPr>
              <w:spacing w:after="0"/>
              <w:jc w:val="center"/>
            </w:pPr>
            <w:r>
              <w:t>--</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426A1" w:rsidRPr="003B11B0" w:rsidRDefault="00B426A1" w:rsidP="00D627A7">
            <w:pPr>
              <w:spacing w:after="0"/>
              <w:jc w:val="center"/>
            </w:pPr>
            <w:r>
              <w:t>--</w:t>
            </w:r>
          </w:p>
        </w:tc>
      </w:tr>
      <w:tr w:rsidR="00B36E62" w:rsidRPr="009C5E28" w:rsidTr="00197F4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36E62" w:rsidRPr="003B11B0" w:rsidRDefault="00B36E62" w:rsidP="005B0609">
            <w:pPr>
              <w:spacing w:after="0" w:line="276" w:lineRule="auto"/>
              <w:jc w:val="center"/>
              <w:rPr>
                <w:bCs/>
              </w:rPr>
            </w:pPr>
            <w:r w:rsidRPr="003B11B0">
              <w:rPr>
                <w:color w:val="auto"/>
              </w:rPr>
              <w:t>Sauerstoff</w:t>
            </w:r>
          </w:p>
        </w:tc>
        <w:tc>
          <w:tcPr>
            <w:tcW w:w="0" w:type="auto"/>
            <w:gridSpan w:val="3"/>
            <w:tcBorders>
              <w:top w:val="single" w:sz="8" w:space="0" w:color="4F81BD"/>
              <w:bottom w:val="single" w:sz="8" w:space="0" w:color="4F81BD"/>
            </w:tcBorders>
            <w:shd w:val="clear" w:color="auto" w:fill="auto"/>
            <w:vAlign w:val="center"/>
          </w:tcPr>
          <w:p w:rsidR="00B36E62" w:rsidRPr="003B11B0" w:rsidRDefault="00B36E62" w:rsidP="005B0609">
            <w:pPr>
              <w:pStyle w:val="Beschriftung"/>
              <w:spacing w:after="0"/>
              <w:jc w:val="center"/>
              <w:rPr>
                <w:sz w:val="22"/>
                <w:szCs w:val="22"/>
              </w:rPr>
            </w:pPr>
            <w:r w:rsidRPr="003B11B0">
              <w:rPr>
                <w:sz w:val="22"/>
                <w:szCs w:val="22"/>
              </w:rPr>
              <w:t>H: 270-280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36E62" w:rsidRPr="003B11B0" w:rsidRDefault="00B36E62" w:rsidP="005B0609">
            <w:pPr>
              <w:pStyle w:val="Beschriftung"/>
              <w:spacing w:after="0"/>
              <w:jc w:val="center"/>
              <w:rPr>
                <w:sz w:val="22"/>
                <w:szCs w:val="22"/>
              </w:rPr>
            </w:pPr>
            <w:r w:rsidRPr="003B11B0">
              <w:rPr>
                <w:sz w:val="22"/>
                <w:szCs w:val="22"/>
              </w:rPr>
              <w:t>P: 220-410+403</w:t>
            </w:r>
          </w:p>
        </w:tc>
      </w:tr>
      <w:tr w:rsidR="00B36E62" w:rsidRPr="009C5E28" w:rsidTr="00197F45">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B36E62" w:rsidRPr="003B11B0" w:rsidRDefault="00B36E62" w:rsidP="00E55E1E">
            <w:pPr>
              <w:spacing w:after="0" w:line="276" w:lineRule="auto"/>
              <w:jc w:val="center"/>
              <w:rPr>
                <w:color w:val="auto"/>
              </w:rPr>
            </w:pPr>
            <w:r w:rsidRPr="003B11B0">
              <w:t>Roter Phosphor</w:t>
            </w:r>
          </w:p>
        </w:tc>
        <w:tc>
          <w:tcPr>
            <w:tcW w:w="0" w:type="auto"/>
            <w:gridSpan w:val="3"/>
            <w:tcBorders>
              <w:top w:val="single" w:sz="8" w:space="0" w:color="4F81BD"/>
              <w:bottom w:val="single" w:sz="8" w:space="0" w:color="4F81BD"/>
            </w:tcBorders>
            <w:shd w:val="clear" w:color="auto" w:fill="auto"/>
            <w:vAlign w:val="center"/>
          </w:tcPr>
          <w:p w:rsidR="00B36E62" w:rsidRPr="003B11B0" w:rsidRDefault="00B36E62" w:rsidP="00E55E1E">
            <w:pPr>
              <w:pStyle w:val="Beschriftung"/>
              <w:spacing w:after="0"/>
              <w:jc w:val="center"/>
              <w:rPr>
                <w:sz w:val="22"/>
                <w:szCs w:val="22"/>
              </w:rPr>
            </w:pPr>
            <w:r w:rsidRPr="003B11B0">
              <w:rPr>
                <w:sz w:val="22"/>
                <w:szCs w:val="22"/>
              </w:rPr>
              <w:t>H: 228-412</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B36E62" w:rsidRPr="003B11B0" w:rsidRDefault="00B36E62" w:rsidP="00E55E1E">
            <w:pPr>
              <w:pStyle w:val="Beschriftung"/>
              <w:spacing w:after="0"/>
              <w:jc w:val="center"/>
              <w:rPr>
                <w:sz w:val="22"/>
                <w:szCs w:val="22"/>
              </w:rPr>
            </w:pPr>
            <w:r w:rsidRPr="003B11B0">
              <w:rPr>
                <w:sz w:val="22"/>
                <w:szCs w:val="22"/>
              </w:rPr>
              <w:t>P: 210-273</w:t>
            </w:r>
          </w:p>
        </w:tc>
      </w:tr>
      <w:tr w:rsidR="00B36E62" w:rsidRPr="009C5E28" w:rsidTr="00197F45">
        <w:tc>
          <w:tcPr>
            <w:tcW w:w="0" w:type="auto"/>
            <w:tcBorders>
              <w:top w:val="single" w:sz="4" w:space="0" w:color="auto"/>
              <w:left w:val="single" w:sz="8" w:space="0" w:color="4F81BD"/>
              <w:bottom w:val="single" w:sz="8" w:space="0" w:color="4F81BD"/>
            </w:tcBorders>
            <w:shd w:val="clear" w:color="auto" w:fill="auto"/>
            <w:vAlign w:val="center"/>
          </w:tcPr>
          <w:p w:rsidR="00B36E62" w:rsidRPr="009C5E28" w:rsidRDefault="00B36E62" w:rsidP="00D627A7">
            <w:pPr>
              <w:spacing w:after="0"/>
              <w:jc w:val="center"/>
              <w:rPr>
                <w:b/>
                <w:bCs/>
              </w:rPr>
            </w:pPr>
            <w:r>
              <w:rPr>
                <w:b/>
                <w:noProof/>
                <w:lang w:eastAsia="de-DE"/>
              </w:rPr>
              <w:drawing>
                <wp:inline distT="0" distB="0" distL="0" distR="0">
                  <wp:extent cx="500380" cy="500380"/>
                  <wp:effectExtent l="19050" t="0" r="0" b="0"/>
                  <wp:docPr id="2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0" w:type="auto"/>
            <w:tcBorders>
              <w:top w:val="single" w:sz="4" w:space="0" w:color="auto"/>
              <w:bottom w:val="single" w:sz="8" w:space="0" w:color="4F81BD"/>
            </w:tcBorders>
            <w:shd w:val="clear" w:color="auto" w:fill="auto"/>
            <w:vAlign w:val="center"/>
          </w:tcPr>
          <w:p w:rsidR="00B36E62" w:rsidRPr="009C5E28" w:rsidRDefault="00B36E62" w:rsidP="00D627A7">
            <w:pPr>
              <w:spacing w:after="0"/>
              <w:jc w:val="center"/>
            </w:pPr>
            <w:r>
              <w:object w:dxaOrig="10800"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1pt;height:40.1pt" o:ole="">
                  <v:imagedata r:id="rId6" o:title=""/>
                </v:shape>
                <o:OLEObject Type="Embed" ProgID="PBrush" ShapeID="_x0000_i1027" DrawAspect="Content" ObjectID="_1470985822" r:id="rId7"/>
              </w:object>
            </w:r>
          </w:p>
        </w:tc>
        <w:tc>
          <w:tcPr>
            <w:tcW w:w="0" w:type="auto"/>
            <w:tcBorders>
              <w:top w:val="single" w:sz="4" w:space="0" w:color="auto"/>
              <w:bottom w:val="single" w:sz="8" w:space="0" w:color="4F81BD"/>
            </w:tcBorders>
            <w:shd w:val="clear" w:color="auto" w:fill="auto"/>
            <w:vAlign w:val="center"/>
          </w:tcPr>
          <w:p w:rsidR="00B36E62" w:rsidRPr="009C5E28" w:rsidRDefault="00B36E62" w:rsidP="00D627A7">
            <w:pPr>
              <w:spacing w:after="0"/>
              <w:jc w:val="center"/>
            </w:pPr>
            <w:r w:rsidRPr="000050F1">
              <w:rPr>
                <w:noProof/>
                <w:lang w:eastAsia="de-DE"/>
              </w:rPr>
              <w:drawing>
                <wp:inline distT="0" distB="0" distL="0" distR="0">
                  <wp:extent cx="500380" cy="500380"/>
                  <wp:effectExtent l="19050" t="0" r="0" b="0"/>
                  <wp:docPr id="27"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0" w:type="auto"/>
            <w:tcBorders>
              <w:top w:val="single" w:sz="4" w:space="0" w:color="auto"/>
              <w:bottom w:val="single" w:sz="8" w:space="0" w:color="4F81BD"/>
            </w:tcBorders>
            <w:shd w:val="clear" w:color="auto" w:fill="auto"/>
            <w:vAlign w:val="center"/>
          </w:tcPr>
          <w:p w:rsidR="00B36E62" w:rsidRPr="009C5E28" w:rsidRDefault="00B36E62" w:rsidP="00D627A7">
            <w:pPr>
              <w:spacing w:after="0"/>
              <w:jc w:val="center"/>
            </w:pPr>
            <w:r>
              <w:rPr>
                <w:noProof/>
                <w:lang w:eastAsia="de-DE"/>
              </w:rPr>
              <w:drawing>
                <wp:inline distT="0" distB="0" distL="0" distR="0">
                  <wp:extent cx="504190" cy="504190"/>
                  <wp:effectExtent l="0" t="0" r="0" b="0"/>
                  <wp:docPr id="2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0" w:type="auto"/>
            <w:tcBorders>
              <w:top w:val="single" w:sz="4" w:space="0" w:color="auto"/>
              <w:bottom w:val="single" w:sz="8" w:space="0" w:color="4F81BD"/>
            </w:tcBorders>
            <w:shd w:val="clear" w:color="auto" w:fill="auto"/>
            <w:vAlign w:val="center"/>
          </w:tcPr>
          <w:p w:rsidR="00B36E62" w:rsidRPr="009C5E28" w:rsidRDefault="00B36E62" w:rsidP="00D627A7">
            <w:pPr>
              <w:spacing w:after="0"/>
              <w:jc w:val="center"/>
            </w:pPr>
            <w:r>
              <w:object w:dxaOrig="10815" w:dyaOrig="10815">
                <v:shape id="_x0000_i1028" type="#_x0000_t75" style="width:38.7pt;height:38.7pt" o:ole="">
                  <v:imagedata r:id="rId10" o:title=""/>
                </v:shape>
                <o:OLEObject Type="Embed" ProgID="PBrush" ShapeID="_x0000_i1028" DrawAspect="Content" ObjectID="_1470985823" r:id="rId11"/>
              </w:object>
            </w:r>
          </w:p>
        </w:tc>
        <w:tc>
          <w:tcPr>
            <w:tcW w:w="0" w:type="auto"/>
            <w:tcBorders>
              <w:top w:val="single" w:sz="4" w:space="0" w:color="auto"/>
              <w:bottom w:val="single" w:sz="8" w:space="0" w:color="4F81BD"/>
            </w:tcBorders>
            <w:shd w:val="clear" w:color="auto" w:fill="auto"/>
            <w:vAlign w:val="center"/>
          </w:tcPr>
          <w:p w:rsidR="00B36E62" w:rsidRPr="009C5E28" w:rsidRDefault="00B36E62" w:rsidP="00D627A7">
            <w:pPr>
              <w:spacing w:after="0"/>
              <w:jc w:val="center"/>
            </w:pPr>
            <w:r>
              <w:rPr>
                <w:noProof/>
                <w:lang w:eastAsia="de-DE"/>
              </w:rPr>
              <w:drawing>
                <wp:inline distT="0" distB="0" distL="0" distR="0">
                  <wp:extent cx="504190" cy="504190"/>
                  <wp:effectExtent l="0" t="0" r="0" b="0"/>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0" w:type="auto"/>
            <w:tcBorders>
              <w:top w:val="single" w:sz="4" w:space="0" w:color="auto"/>
              <w:bottom w:val="single" w:sz="8" w:space="0" w:color="4F81BD"/>
            </w:tcBorders>
            <w:shd w:val="clear" w:color="auto" w:fill="auto"/>
            <w:vAlign w:val="center"/>
          </w:tcPr>
          <w:p w:rsidR="00B36E62" w:rsidRPr="009C5E28" w:rsidRDefault="00B36E62" w:rsidP="00D627A7">
            <w:pPr>
              <w:spacing w:after="0"/>
              <w:jc w:val="center"/>
            </w:pPr>
            <w:r>
              <w:rPr>
                <w:noProof/>
                <w:lang w:eastAsia="de-DE"/>
              </w:rPr>
              <w:drawing>
                <wp:inline distT="0" distB="0" distL="0" distR="0">
                  <wp:extent cx="504190" cy="504190"/>
                  <wp:effectExtent l="0" t="0" r="0" b="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0" w:type="auto"/>
            <w:tcBorders>
              <w:top w:val="single" w:sz="4" w:space="0" w:color="auto"/>
              <w:bottom w:val="single" w:sz="8" w:space="0" w:color="4F81BD"/>
            </w:tcBorders>
            <w:shd w:val="clear" w:color="auto" w:fill="auto"/>
            <w:vAlign w:val="center"/>
          </w:tcPr>
          <w:p w:rsidR="00B36E62" w:rsidRPr="009C5E28" w:rsidRDefault="00B36E62" w:rsidP="00D627A7">
            <w:pPr>
              <w:spacing w:after="0"/>
              <w:jc w:val="center"/>
            </w:pPr>
            <w:r>
              <w:rPr>
                <w:noProof/>
                <w:lang w:eastAsia="de-DE"/>
              </w:rPr>
              <w:drawing>
                <wp:inline distT="0" distB="0" distL="0" distR="0">
                  <wp:extent cx="511175" cy="511175"/>
                  <wp:effectExtent l="0" t="0" r="0" b="0"/>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0" w:type="auto"/>
            <w:tcBorders>
              <w:top w:val="single" w:sz="4" w:space="0" w:color="auto"/>
              <w:bottom w:val="single" w:sz="8" w:space="0" w:color="4F81BD"/>
              <w:right w:val="single" w:sz="8" w:space="0" w:color="4F81BD"/>
            </w:tcBorders>
            <w:shd w:val="clear" w:color="auto" w:fill="auto"/>
            <w:vAlign w:val="center"/>
          </w:tcPr>
          <w:p w:rsidR="00B36E62" w:rsidRPr="009C5E28" w:rsidRDefault="00B36E62" w:rsidP="00D627A7">
            <w:pPr>
              <w:spacing w:after="0"/>
              <w:jc w:val="center"/>
            </w:pPr>
            <w:r>
              <w:rPr>
                <w:noProof/>
                <w:lang w:eastAsia="de-DE"/>
              </w:rPr>
              <w:drawing>
                <wp:inline distT="0" distB="0" distL="0" distR="0">
                  <wp:extent cx="504190" cy="504190"/>
                  <wp:effectExtent l="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426A1" w:rsidRDefault="00B426A1" w:rsidP="00B426A1">
      <w:pPr>
        <w:tabs>
          <w:tab w:val="left" w:pos="1701"/>
          <w:tab w:val="left" w:pos="1985"/>
        </w:tabs>
        <w:ind w:left="1980" w:hanging="1980"/>
      </w:pPr>
    </w:p>
    <w:p w:rsidR="00B426A1" w:rsidRDefault="00B426A1" w:rsidP="00B426A1">
      <w:pPr>
        <w:tabs>
          <w:tab w:val="left" w:pos="1701"/>
          <w:tab w:val="left" w:pos="1985"/>
        </w:tabs>
        <w:ind w:left="1980" w:hanging="1980"/>
      </w:pPr>
      <w:r>
        <w:t xml:space="preserve">Materialien: </w:t>
      </w:r>
      <w:r>
        <w:tab/>
      </w:r>
      <w:r>
        <w:tab/>
      </w:r>
      <w:r w:rsidRPr="00072DC7">
        <w:t>Standzylinder mit Deckel, Verbrennungslöffel, Spatel, Gasbrenner, Uhrglas</w:t>
      </w:r>
      <w:r>
        <w:t>, Sauerstoff-Druckgasflasche</w:t>
      </w:r>
    </w:p>
    <w:p w:rsidR="00B426A1" w:rsidRPr="00072DC7" w:rsidRDefault="00B426A1" w:rsidP="00B426A1">
      <w:pPr>
        <w:tabs>
          <w:tab w:val="left" w:pos="1701"/>
          <w:tab w:val="left" w:pos="1985"/>
        </w:tabs>
      </w:pPr>
      <w:r>
        <w:t>Chemikalien:</w:t>
      </w:r>
      <w:r>
        <w:tab/>
      </w:r>
      <w:r>
        <w:tab/>
      </w:r>
      <w:r w:rsidRPr="00072DC7">
        <w:t xml:space="preserve">Sauerstoff, Schwefel, </w:t>
      </w:r>
      <w:r>
        <w:t xml:space="preserve">roter Phosphor, </w:t>
      </w:r>
      <w:proofErr w:type="spellStart"/>
      <w:r w:rsidRPr="00072DC7">
        <w:t>Thymolblau</w:t>
      </w:r>
      <w:proofErr w:type="spellEnd"/>
      <w:r w:rsidRPr="00072DC7">
        <w:t xml:space="preserve">, </w:t>
      </w:r>
      <w:proofErr w:type="spellStart"/>
      <w:r w:rsidRPr="00072DC7">
        <w:t>dest</w:t>
      </w:r>
      <w:proofErr w:type="spellEnd"/>
      <w:r w:rsidRPr="00072DC7">
        <w:t xml:space="preserve">. Wasser </w:t>
      </w:r>
    </w:p>
    <w:p w:rsidR="00B426A1" w:rsidRDefault="00B426A1" w:rsidP="00B426A1">
      <w:pPr>
        <w:tabs>
          <w:tab w:val="left" w:pos="1701"/>
          <w:tab w:val="left" w:pos="1985"/>
        </w:tabs>
        <w:ind w:left="1980" w:hanging="1980"/>
      </w:pPr>
      <w:r>
        <w:t xml:space="preserve">Durchführung: </w:t>
      </w:r>
      <w:r>
        <w:tab/>
      </w:r>
      <w:r>
        <w:tab/>
      </w:r>
      <w:r>
        <w:tab/>
        <w:t xml:space="preserve">Zunächst werden in den Standzylinder etwa </w:t>
      </w:r>
      <w:r w:rsidRPr="000050F1">
        <w:t>3</w:t>
      </w:r>
      <w:r>
        <w:t xml:space="preserve">cm hoch </w:t>
      </w:r>
      <w:proofErr w:type="spellStart"/>
      <w:r>
        <w:t>dest</w:t>
      </w:r>
      <w:proofErr w:type="spellEnd"/>
      <w:r>
        <w:t xml:space="preserve">. Wasser gegeben und der Indikator </w:t>
      </w:r>
      <w:proofErr w:type="spellStart"/>
      <w:r>
        <w:t>Thymolblau</w:t>
      </w:r>
      <w:proofErr w:type="spellEnd"/>
      <w:r>
        <w:t xml:space="preserve"> (pH 8) hinzugegeben. Der Standzylinder wird </w:t>
      </w:r>
      <w:r w:rsidRPr="000050F1">
        <w:t>mit</w:t>
      </w:r>
      <w:r>
        <w:t xml:space="preserve"> Sauerstoff aus der Druckgasflasche </w:t>
      </w:r>
      <w:proofErr w:type="spellStart"/>
      <w:r>
        <w:t>befüllt</w:t>
      </w:r>
      <w:proofErr w:type="spellEnd"/>
      <w:r>
        <w:t xml:space="preserve"> und mit einem Uhrglas verschlossen. Mit einem Spatel wird etwas Schwefel / eine </w:t>
      </w:r>
      <w:proofErr w:type="spellStart"/>
      <w:r>
        <w:t>Spatelspitze</w:t>
      </w:r>
      <w:proofErr w:type="spellEnd"/>
      <w:r>
        <w:t xml:space="preserve"> roter Phosphor in den Verbrennungslöffel gegeben und mit Hilfe des Gasbrenners entzündet. Nun wird der Verbrennungslöffel in den Standzylinder gehalten und gleichzeitig mit dem Deckel verschlossen.</w:t>
      </w:r>
    </w:p>
    <w:p w:rsidR="00B426A1" w:rsidRDefault="00C312FB" w:rsidP="00B426A1">
      <w:pPr>
        <w:tabs>
          <w:tab w:val="left" w:pos="1701"/>
          <w:tab w:val="left" w:pos="1985"/>
        </w:tabs>
        <w:ind w:left="1980" w:hanging="1980"/>
      </w:pPr>
      <w:r>
        <w:pict>
          <v:shape id="_x0000_s1030" type="#_x0000_t202" style="width:462.45pt;height:22.9pt;mso-position-horizontal-relative:char;mso-position-vertical-relative:line;mso-width-relative:margin;mso-height-relative:margin" fillcolor="white [3201]" strokecolor="#c0504d [3205]" strokeweight="1pt">
            <v:stroke dashstyle="dash"/>
            <v:shadow color="#868686"/>
            <v:textbox style="mso-next-textbox:#_x0000_s1030">
              <w:txbxContent>
                <w:p w:rsidR="00B426A1" w:rsidRPr="00762583" w:rsidRDefault="00B426A1" w:rsidP="00B426A1">
                  <w:pPr>
                    <w:rPr>
                      <w:color w:val="1F497D" w:themeColor="text2"/>
                    </w:rPr>
                  </w:pPr>
                  <w:r w:rsidRPr="00762583">
                    <w:rPr>
                      <w:color w:val="1F497D" w:themeColor="text2"/>
                    </w:rPr>
                    <w:t>Diese</w:t>
                  </w:r>
                  <w:r>
                    <w:rPr>
                      <w:color w:val="1F497D" w:themeColor="text2"/>
                    </w:rPr>
                    <w:t>r</w:t>
                  </w:r>
                  <w:r w:rsidRPr="00762583">
                    <w:rPr>
                      <w:color w:val="1F497D" w:themeColor="text2"/>
                    </w:rPr>
                    <w:t xml:space="preserve"> Versuch </w:t>
                  </w:r>
                  <w:r>
                    <w:rPr>
                      <w:color w:val="1F497D" w:themeColor="text2"/>
                    </w:rPr>
                    <w:t>ist</w:t>
                  </w:r>
                  <w:r w:rsidRPr="00762583">
                    <w:rPr>
                      <w:color w:val="1F497D" w:themeColor="text2"/>
                    </w:rPr>
                    <w:t xml:space="preserve"> </w:t>
                  </w:r>
                  <w:r>
                    <w:rPr>
                      <w:color w:val="1F497D" w:themeColor="text2"/>
                    </w:rPr>
                    <w:t>im</w:t>
                  </w:r>
                  <w:r w:rsidRPr="00762583">
                    <w:rPr>
                      <w:color w:val="1F497D" w:themeColor="text2"/>
                    </w:rPr>
                    <w:t xml:space="preserve"> Abzug durch</w:t>
                  </w:r>
                  <w:r>
                    <w:rPr>
                      <w:color w:val="1F497D" w:themeColor="text2"/>
                    </w:rPr>
                    <w:t>zu</w:t>
                  </w:r>
                  <w:r w:rsidRPr="00762583">
                    <w:rPr>
                      <w:color w:val="1F497D" w:themeColor="text2"/>
                    </w:rPr>
                    <w:t>führen!</w:t>
                  </w:r>
                </w:p>
              </w:txbxContent>
            </v:textbox>
            <w10:wrap type="none"/>
            <w10:anchorlock/>
          </v:shape>
        </w:pict>
      </w:r>
    </w:p>
    <w:p w:rsidR="00B426A1" w:rsidRDefault="00B426A1" w:rsidP="00B426A1">
      <w:pPr>
        <w:tabs>
          <w:tab w:val="left" w:pos="1701"/>
          <w:tab w:val="left" w:pos="1985"/>
        </w:tabs>
        <w:ind w:left="1980" w:hanging="1980"/>
      </w:pPr>
      <w:r>
        <w:t>Beobachtung:</w:t>
      </w:r>
      <w:r>
        <w:tab/>
      </w:r>
      <w:r>
        <w:tab/>
      </w:r>
      <w:r>
        <w:tab/>
        <w:t>Schwefel brennt mit einer hellen blauen Flamme und es ist eine starke Gasentwicklung zu erkennen. Roter Phosphor verbrennt leuchtend gelb und es ist ebenfalls eine Gasentwicklung zu beobachten. In beiden Fällen ist ein Farbumschlag des Indikators von blau zu rot zu erkennen.</w:t>
      </w:r>
    </w:p>
    <w:p w:rsidR="00B426A1" w:rsidRDefault="00B426A1" w:rsidP="00B426A1">
      <w:pPr>
        <w:keepNext/>
        <w:tabs>
          <w:tab w:val="left" w:pos="1701"/>
          <w:tab w:val="left" w:pos="1985"/>
        </w:tabs>
        <w:ind w:left="1980" w:hanging="1980"/>
        <w:jc w:val="center"/>
      </w:pPr>
      <w:r>
        <w:rPr>
          <w:noProof/>
          <w:lang w:eastAsia="de-DE"/>
        </w:rPr>
        <w:lastRenderedPageBreak/>
        <w:drawing>
          <wp:inline distT="0" distB="0" distL="0" distR="0">
            <wp:extent cx="2141686" cy="2855344"/>
            <wp:effectExtent l="95250" t="76200" r="106214" b="78356"/>
            <wp:docPr id="14" name="Grafik 21" descr="DSC0088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83a.jpg"/>
                    <pic:cNvPicPr/>
                  </pic:nvPicPr>
                  <pic:blipFill>
                    <a:blip r:embed="rId16" cstate="print"/>
                    <a:stretch>
                      <a:fillRect/>
                    </a:stretch>
                  </pic:blipFill>
                  <pic:spPr>
                    <a:xfrm>
                      <a:off x="0" y="0"/>
                      <a:ext cx="2142471" cy="28563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ab/>
      </w:r>
      <w:r>
        <w:rPr>
          <w:noProof/>
          <w:lang w:eastAsia="de-DE"/>
        </w:rPr>
        <w:drawing>
          <wp:inline distT="0" distB="0" distL="0" distR="0">
            <wp:extent cx="2147193" cy="2862688"/>
            <wp:effectExtent l="95250" t="76200" r="100707" b="71012"/>
            <wp:docPr id="15" name="Grafik 27" descr="DSC0088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80a.jpg"/>
                    <pic:cNvPicPr/>
                  </pic:nvPicPr>
                  <pic:blipFill>
                    <a:blip r:embed="rId17" cstate="print"/>
                    <a:stretch>
                      <a:fillRect/>
                    </a:stretch>
                  </pic:blipFill>
                  <pic:spPr>
                    <a:xfrm>
                      <a:off x="0" y="0"/>
                      <a:ext cx="2146937" cy="28623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426A1" w:rsidRDefault="00B426A1" w:rsidP="00B426A1">
      <w:pPr>
        <w:pStyle w:val="Beschriftung"/>
        <w:jc w:val="center"/>
      </w:pPr>
      <w:r>
        <w:t xml:space="preserve">Abbildung </w:t>
      </w:r>
      <w:fldSimple w:instr=" SEQ Abbildung \* ARABIC ">
        <w:r>
          <w:rPr>
            <w:noProof/>
          </w:rPr>
          <w:t>1</w:t>
        </w:r>
      </w:fldSimple>
      <w:r>
        <w:t xml:space="preserve">: Indikator </w:t>
      </w:r>
      <w:proofErr w:type="spellStart"/>
      <w:r>
        <w:t>Thymolblau</w:t>
      </w:r>
      <w:proofErr w:type="spellEnd"/>
      <w:r>
        <w:t xml:space="preserve"> vor (links) und nach (rechts) der Reaktion</w:t>
      </w:r>
    </w:p>
    <w:p w:rsidR="00B426A1" w:rsidRDefault="00B426A1" w:rsidP="00B426A1">
      <w:pPr>
        <w:keepNext/>
        <w:tabs>
          <w:tab w:val="left" w:pos="1701"/>
          <w:tab w:val="left" w:pos="1985"/>
        </w:tabs>
        <w:ind w:left="1980" w:hanging="1980"/>
        <w:jc w:val="center"/>
      </w:pPr>
      <w:r>
        <w:rPr>
          <w:noProof/>
          <w:lang w:eastAsia="de-DE"/>
        </w:rPr>
        <w:drawing>
          <wp:inline distT="0" distB="0" distL="0" distR="0">
            <wp:extent cx="2142390" cy="2855344"/>
            <wp:effectExtent l="95250" t="76200" r="105510" b="78356"/>
            <wp:docPr id="16" name="Grafik 22" descr="DSC0084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42a.jpg"/>
                    <pic:cNvPicPr/>
                  </pic:nvPicPr>
                  <pic:blipFill>
                    <a:blip r:embed="rId18" cstate="print"/>
                    <a:stretch>
                      <a:fillRect/>
                    </a:stretch>
                  </pic:blipFill>
                  <pic:spPr>
                    <a:xfrm>
                      <a:off x="0" y="0"/>
                      <a:ext cx="2143269" cy="28565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ab/>
      </w:r>
      <w:r>
        <w:rPr>
          <w:noProof/>
          <w:lang w:eastAsia="de-DE"/>
        </w:rPr>
        <w:drawing>
          <wp:inline distT="0" distB="0" distL="0" distR="0">
            <wp:extent cx="2141684" cy="2855343"/>
            <wp:effectExtent l="95250" t="76200" r="106216" b="78357"/>
            <wp:docPr id="17" name="Grafik 26" descr="DSC0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34.JPG"/>
                    <pic:cNvPicPr/>
                  </pic:nvPicPr>
                  <pic:blipFill>
                    <a:blip r:embed="rId19" cstate="print"/>
                    <a:stretch>
                      <a:fillRect/>
                    </a:stretch>
                  </pic:blipFill>
                  <pic:spPr>
                    <a:xfrm>
                      <a:off x="0" y="0"/>
                      <a:ext cx="2142469" cy="28563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426A1" w:rsidRDefault="00B426A1" w:rsidP="00B426A1">
      <w:pPr>
        <w:pStyle w:val="Beschriftung"/>
        <w:jc w:val="center"/>
      </w:pPr>
      <w:r>
        <w:t xml:space="preserve">Abbildung </w:t>
      </w:r>
      <w:fldSimple w:instr=" SEQ Abbildung \* ARABIC ">
        <w:r>
          <w:rPr>
            <w:noProof/>
          </w:rPr>
          <w:t>2</w:t>
        </w:r>
      </w:fldSimple>
      <w:r>
        <w:t>: Brennender Schwefel (links) und brennender roter Phosphor (rechts)</w:t>
      </w:r>
    </w:p>
    <w:p w:rsidR="00B426A1" w:rsidRDefault="00B426A1" w:rsidP="00B426A1">
      <w:pPr>
        <w:tabs>
          <w:tab w:val="left" w:pos="1701"/>
          <w:tab w:val="left" w:pos="1985"/>
        </w:tabs>
        <w:ind w:left="1980" w:hanging="1980"/>
      </w:pPr>
    </w:p>
    <w:p w:rsidR="00B426A1" w:rsidRDefault="00B426A1" w:rsidP="00B426A1">
      <w:pPr>
        <w:tabs>
          <w:tab w:val="left" w:pos="1701"/>
        </w:tabs>
        <w:ind w:left="1701" w:hanging="1701"/>
      </w:pPr>
      <w:r>
        <w:t>Deutung:</w:t>
      </w:r>
      <w:r>
        <w:tab/>
        <w:t xml:space="preserve">Bei der Verbrennung von Schwefel und rotem Phosphor entstehen Schwefeldioxid bzw. </w:t>
      </w:r>
      <w:r w:rsidR="00C07B09">
        <w:t>Phosphor(V)-</w:t>
      </w:r>
      <w:proofErr w:type="spellStart"/>
      <w:r w:rsidR="00C07B09">
        <w:t>oxid</w:t>
      </w:r>
      <w:proofErr w:type="spellEnd"/>
      <w:r>
        <w:t xml:space="preserve">. Es handelt sich um eine Oxidation. Werden die Verbrennungslöffel in die Standzylinder gehalten läuft die Verbrennung heftiger ab, da dort mehr Sauerstoff für die Reaktion zur Verfügung steht als in der Luft. Schwefeldioxid reagiert mit dem Wasser zu Schwefliger Säure und anschließend zu Schwefelsäure, weshalb der Indikator rot umschlägt (von pH 8 auf pH = 0-2). </w:t>
      </w:r>
      <w:r w:rsidR="00C07B09">
        <w:t>Phosphor(V)-</w:t>
      </w:r>
      <w:proofErr w:type="spellStart"/>
      <w:r w:rsidR="00C07B09">
        <w:t>oxid</w:t>
      </w:r>
      <w:proofErr w:type="spellEnd"/>
      <w:r w:rsidR="00C07B09">
        <w:t xml:space="preserve"> </w:t>
      </w:r>
      <w:r>
        <w:t xml:space="preserve"> reagiert ebenfalls </w:t>
      </w:r>
      <w:r>
        <w:lastRenderedPageBreak/>
        <w:t>mit Wasser, nämlich zu Phosphorsäure. Aus diesem Grund ist auch hier ein Farbumschlag auf rot zu erkennen.</w:t>
      </w:r>
    </w:p>
    <w:tbl>
      <w:tblPr>
        <w:tblStyle w:val="Tabellengitternetz"/>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677"/>
      </w:tblGrid>
      <w:tr w:rsidR="00B426A1" w:rsidRPr="00B831BC" w:rsidTr="00D627A7">
        <w:tc>
          <w:tcPr>
            <w:tcW w:w="4395" w:type="dxa"/>
          </w:tcPr>
          <w:p w:rsidR="00B426A1" w:rsidRDefault="00B426A1" w:rsidP="00D627A7">
            <w:pPr>
              <w:tabs>
                <w:tab w:val="left" w:pos="1701"/>
              </w:tabs>
              <w:ind w:left="1701" w:hanging="1701"/>
              <w:rPr>
                <w:rFonts w:eastAsiaTheme="minorEastAsia"/>
              </w:rPr>
            </w:pPr>
          </w:p>
          <w:p w:rsidR="00B426A1" w:rsidRPr="00B831BC" w:rsidRDefault="00C312FB" w:rsidP="00D627A7">
            <w:pPr>
              <w:tabs>
                <w:tab w:val="left" w:pos="1701"/>
              </w:tabs>
              <w:rPr>
                <w:rFonts w:eastAsiaTheme="minorEastAsia"/>
              </w:rPr>
            </w:pPr>
            <m:oMathPara>
              <m:oMathParaPr>
                <m:jc m:val="center"/>
              </m:oMathParaPr>
              <m:oMath>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8</m:t>
                    </m:r>
                  </m:den>
                </m:f>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8 (s)</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(g)</m:t>
                    </m:r>
                  </m:sub>
                </m:sSub>
                <m:r>
                  <m:rPr>
                    <m:sty m:val="p"/>
                  </m:rPr>
                  <w:rPr>
                    <w:rFonts w:ascii="Cambria Math" w:eastAsiaTheme="minorEastAsia" w:hAnsi="Cambria Math"/>
                  </w:rPr>
                  <m:t>→S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(g)</m:t>
                    </m:r>
                  </m:sub>
                </m:sSub>
              </m:oMath>
            </m:oMathPara>
          </w:p>
          <w:p w:rsidR="00B426A1" w:rsidRPr="00B831BC" w:rsidRDefault="00B426A1" w:rsidP="00D627A7">
            <w:pPr>
              <w:tabs>
                <w:tab w:val="left" w:pos="1701"/>
              </w:tabs>
              <w:rPr>
                <w:rFonts w:eastAsiaTheme="minorEastAsia"/>
              </w:rPr>
            </w:pPr>
            <m:oMathPara>
              <m:oMathParaPr>
                <m:jc m:val="center"/>
              </m:oMathParaPr>
              <m:oMath>
                <m:r>
                  <m:rPr>
                    <m:sty m:val="p"/>
                  </m:rPr>
                  <w:rPr>
                    <w:rFonts w:ascii="Cambria Math" w:eastAsiaTheme="minorEastAsia" w:hAnsi="Cambria Math"/>
                  </w:rPr>
                  <m:t>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(g)</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SO</m:t>
                    </m:r>
                  </m:e>
                  <m:sub>
                    <m:r>
                      <m:rPr>
                        <m:sty m:val="p"/>
                      </m:rPr>
                      <w:rPr>
                        <w:rFonts w:ascii="Cambria Math" w:eastAsiaTheme="minorEastAsia" w:hAnsi="Cambria Math"/>
                      </w:rPr>
                      <m:t>3 (aq)</m:t>
                    </m:r>
                  </m:sub>
                </m:sSub>
              </m:oMath>
            </m:oMathPara>
          </w:p>
          <w:p w:rsidR="00B426A1" w:rsidRPr="00B831BC" w:rsidRDefault="00C312FB" w:rsidP="00D627A7">
            <w:pPr>
              <w:tabs>
                <w:tab w:val="left" w:pos="1701"/>
              </w:tabs>
              <w:rPr>
                <w:rFonts w:eastAsiaTheme="minorEastAsia"/>
              </w:rPr>
            </w:pPr>
            <m:oMathPara>
              <m:oMathParaPr>
                <m:jc m:val="center"/>
              </m:oMathParaP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SO</m:t>
                    </m:r>
                  </m:e>
                  <m:sub>
                    <m:r>
                      <m:rPr>
                        <m:sty m:val="p"/>
                      </m:rPr>
                      <w:rPr>
                        <w:rFonts w:ascii="Cambria Math" w:eastAsiaTheme="minorEastAsia" w:hAnsi="Cambria Math"/>
                      </w:rPr>
                      <m:t>3 (l)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 xml:space="preserve"> →</m:t>
                </m:r>
                <m:sSubSup>
                  <m:sSubSupPr>
                    <m:ctrlPr>
                      <w:rPr>
                        <w:rFonts w:ascii="Cambria Math" w:eastAsiaTheme="minorEastAsia" w:hAnsi="Cambria Math"/>
                      </w:rPr>
                    </m:ctrlPr>
                  </m:sSubSupPr>
                  <m:e>
                    <m:r>
                      <m:rPr>
                        <m:sty m:val="p"/>
                      </m:rPr>
                      <w:rPr>
                        <w:rFonts w:ascii="Cambria Math" w:eastAsiaTheme="minorEastAsia" w:hAnsi="Cambria Math"/>
                      </w:rPr>
                      <m:t>HSO</m:t>
                    </m:r>
                  </m:e>
                  <m:sub>
                    <m:r>
                      <m:rPr>
                        <m:sty m:val="p"/>
                      </m:rPr>
                      <w:rPr>
                        <w:rFonts w:ascii="Cambria Math" w:eastAsiaTheme="minorEastAsia" w:hAnsi="Cambria Math"/>
                      </w:rPr>
                      <m:t>3 (aq)</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rsidR="00B426A1" w:rsidRPr="00B831BC" w:rsidRDefault="00B426A1" w:rsidP="00D627A7">
            <w:pPr>
              <w:tabs>
                <w:tab w:val="left" w:pos="1701"/>
              </w:tabs>
              <w:rPr>
                <w:rFonts w:eastAsiaTheme="minorEastAsia"/>
                <w:lang w:val="es-ES_tradnl"/>
              </w:rPr>
            </w:pPr>
          </w:p>
          <w:p w:rsidR="00B426A1" w:rsidRPr="00B831BC" w:rsidRDefault="00B426A1" w:rsidP="00D627A7">
            <w:pPr>
              <w:tabs>
                <w:tab w:val="left" w:pos="1701"/>
              </w:tabs>
              <w:rPr>
                <w:rFonts w:eastAsiaTheme="minorEastAsia"/>
                <w:lang w:val="es-ES_tradnl"/>
              </w:rPr>
            </w:pPr>
          </w:p>
        </w:tc>
        <w:tc>
          <w:tcPr>
            <w:tcW w:w="4677" w:type="dxa"/>
          </w:tcPr>
          <w:p w:rsidR="00B426A1" w:rsidRPr="00B831BC" w:rsidRDefault="00B426A1" w:rsidP="00D627A7">
            <w:pPr>
              <w:tabs>
                <w:tab w:val="left" w:pos="1701"/>
              </w:tabs>
              <w:spacing w:line="540" w:lineRule="auto"/>
              <w:rPr>
                <w:rFonts w:eastAsiaTheme="minorEastAsia"/>
                <w:lang w:val="es-ES_tradnl"/>
              </w:rPr>
            </w:pPr>
          </w:p>
          <w:p w:rsidR="00B426A1" w:rsidRPr="00B831BC" w:rsidRDefault="00C312FB" w:rsidP="00D627A7">
            <w:pPr>
              <w:tabs>
                <w:tab w:val="left" w:pos="1701"/>
              </w:tabs>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4 (s)</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4</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10 (s)</m:t>
                    </m:r>
                  </m:sub>
                </m:sSub>
              </m:oMath>
            </m:oMathPara>
          </w:p>
          <w:p w:rsidR="00B426A1" w:rsidRPr="00B831BC" w:rsidRDefault="00C312FB" w:rsidP="00D627A7">
            <w:pPr>
              <w:tabs>
                <w:tab w:val="left" w:pos="1701"/>
              </w:tabs>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4</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10 (s)</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6H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4H</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PO</m:t>
                    </m:r>
                  </m:e>
                  <m:sub>
                    <m:r>
                      <m:rPr>
                        <m:sty m:val="p"/>
                      </m:rPr>
                      <w:rPr>
                        <w:rFonts w:ascii="Cambria Math" w:eastAsiaTheme="minorEastAsia" w:hAnsi="Cambria Math"/>
                      </w:rPr>
                      <m:t>4 (aq)</m:t>
                    </m:r>
                  </m:sub>
                </m:sSub>
              </m:oMath>
            </m:oMathPara>
          </w:p>
          <w:p w:rsidR="00B426A1" w:rsidRDefault="00C312FB" w:rsidP="00D627A7">
            <w:pPr>
              <w:tabs>
                <w:tab w:val="left" w:pos="1701"/>
              </w:tabs>
              <w:rPr>
                <w:rFonts w:eastAsiaTheme="minorEastAsia"/>
                <w:lang w:val="es-ES_tradnl"/>
              </w:rPr>
            </w:pPr>
            <m:oMathPara>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sSub>
                  <m:sSubPr>
                    <m:ctrlPr>
                      <w:rPr>
                        <w:rFonts w:ascii="Cambria Math" w:eastAsiaTheme="minorEastAsia" w:hAnsi="Cambria Math"/>
                      </w:rPr>
                    </m:ctrlPr>
                  </m:sSubPr>
                  <m:e>
                    <m:r>
                      <m:rPr>
                        <m:sty m:val="p"/>
                      </m:rPr>
                      <w:rPr>
                        <w:rFonts w:ascii="Cambria Math" w:eastAsiaTheme="minorEastAsia" w:hAnsi="Cambria Math"/>
                      </w:rPr>
                      <m:t>PO</m:t>
                    </m:r>
                  </m:e>
                  <m:sub>
                    <m:r>
                      <m:rPr>
                        <m:sty m:val="p"/>
                      </m:rPr>
                      <w:rPr>
                        <w:rFonts w:ascii="Cambria Math" w:eastAsiaTheme="minorEastAsia" w:hAnsi="Cambria Math"/>
                      </w:rPr>
                      <m:t>4 (l)</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Sup>
                  <m:sSubSupPr>
                    <m:ctrlPr>
                      <w:rPr>
                        <w:rFonts w:ascii="Cambria Math" w:eastAsiaTheme="minorEastAsia" w:hAnsi="Cambria Math"/>
                      </w:rPr>
                    </m:ctrlPr>
                  </m:sSubSupPr>
                  <m:e>
                    <m:r>
                      <m:rPr>
                        <m:sty m:val="p"/>
                      </m:rPr>
                      <w:rPr>
                        <w:rFonts w:ascii="Cambria Math" w:eastAsiaTheme="minorEastAsia" w:hAnsi="Cambria Math"/>
                      </w:rPr>
                      <m:t>PO</m:t>
                    </m:r>
                  </m:e>
                  <m:sub>
                    <m:r>
                      <m:rPr>
                        <m:sty m:val="p"/>
                      </m:rPr>
                      <w:rPr>
                        <w:rFonts w:ascii="Cambria Math" w:eastAsiaTheme="minorEastAsia" w:hAnsi="Cambria Math"/>
                      </w:rPr>
                      <m:t>4 (aq)</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rsidR="00B426A1" w:rsidRPr="00480BF5" w:rsidRDefault="00B426A1" w:rsidP="00D627A7">
            <w:pPr>
              <w:tabs>
                <w:tab w:val="left" w:pos="1140"/>
              </w:tabs>
              <w:rPr>
                <w:rFonts w:eastAsiaTheme="minorEastAsia"/>
                <w:lang w:val="es-ES_tradnl"/>
              </w:rPr>
            </w:pPr>
            <w:r>
              <w:rPr>
                <w:rFonts w:eastAsiaTheme="minorEastAsia"/>
                <w:lang w:val="es-ES_tradnl"/>
              </w:rPr>
              <w:tab/>
            </w:r>
          </w:p>
        </w:tc>
      </w:tr>
    </w:tbl>
    <w:p w:rsidR="00B426A1" w:rsidRDefault="00C312FB" w:rsidP="00B426A1">
      <w:pPr>
        <w:jc w:val="left"/>
      </w:pPr>
      <w:r>
        <w:pict>
          <v:shape id="_x0000_s1029" type="#_x0000_t202" style="width:462.45pt;height:91.6pt;mso-position-horizontal-relative:char;mso-position-vertical-relative:line;mso-width-relative:margin;mso-height-relative:margin" fillcolor="white [3201]" strokecolor="#c0504d [3205]" strokeweight="1pt">
            <v:stroke dashstyle="dash"/>
            <v:shadow color="#868686"/>
            <v:textbox style="mso-next-textbox:#_x0000_s1029">
              <w:txbxContent>
                <w:p w:rsidR="00B426A1" w:rsidRPr="00762583" w:rsidRDefault="00B426A1" w:rsidP="00B426A1">
                  <w:pPr>
                    <w:rPr>
                      <w:color w:val="1F497D" w:themeColor="text2"/>
                    </w:rPr>
                  </w:pPr>
                  <w:r w:rsidRPr="00762583">
                    <w:rPr>
                      <w:color w:val="1F497D" w:themeColor="text2"/>
                    </w:rPr>
                    <w:t>Es muss darauf geachtet werden, dass die Phosphorreste vollständig verbrannt werden und keine Reste (Abzug, Spatel, Verbrennungslöffel) übrig bleiben.</w:t>
                  </w:r>
                </w:p>
                <w:p w:rsidR="00B426A1" w:rsidRPr="00762583" w:rsidRDefault="00B426A1" w:rsidP="00B426A1">
                  <w:pPr>
                    <w:rPr>
                      <w:color w:val="1F497D" w:themeColor="text2"/>
                    </w:rPr>
                  </w:pPr>
                  <w:r w:rsidRPr="00762583">
                    <w:rPr>
                      <w:color w:val="1F497D" w:themeColor="text2"/>
                    </w:rPr>
                    <w:t>Das Experiment kann als Einstiegsexperiment in das Thema Verbrennungen, Sauerstoffübertragungsreaktion verwendet haben (als Alternative auch ohne Indikator).</w:t>
                  </w:r>
                </w:p>
              </w:txbxContent>
            </v:textbox>
            <w10:wrap type="none"/>
            <w10:anchorlock/>
          </v:shape>
        </w:pict>
      </w:r>
    </w:p>
    <w:p w:rsidR="00B426A1" w:rsidRDefault="00B426A1" w:rsidP="00B426A1">
      <w:pPr>
        <w:jc w:val="left"/>
      </w:pPr>
      <w:r>
        <w:t xml:space="preserve">Literatur: </w:t>
      </w:r>
    </w:p>
    <w:p w:rsidR="00B426A1" w:rsidRDefault="00B426A1" w:rsidP="00B426A1">
      <w:pPr>
        <w:jc w:val="left"/>
        <w:rPr>
          <w:rFonts w:asciiTheme="majorHAnsi" w:hAnsiTheme="majorHAnsi"/>
        </w:rPr>
      </w:pPr>
      <w:r>
        <w:t xml:space="preserve">[1] Dr. S. Sommer, </w:t>
      </w:r>
      <w:r w:rsidRPr="00B84813">
        <w:t>http://netexperimente.de/chemie/25.html</w:t>
      </w:r>
      <w:r>
        <w:t>, 2008-2014 (</w:t>
      </w:r>
      <w:r>
        <w:rPr>
          <w:rFonts w:asciiTheme="majorHAnsi" w:hAnsiTheme="majorHAnsi"/>
        </w:rPr>
        <w:t>Zuletzt abgerufen am 11.08.2014, 18:28 Uhr)</w:t>
      </w:r>
    </w:p>
    <w:p w:rsidR="00B426A1" w:rsidRDefault="00B426A1" w:rsidP="00B426A1">
      <w:pPr>
        <w:jc w:val="left"/>
        <w:rPr>
          <w:rFonts w:asciiTheme="majorHAnsi" w:hAnsiTheme="majorHAnsi"/>
        </w:rPr>
      </w:pPr>
      <w:r>
        <w:rPr>
          <w:rFonts w:asciiTheme="majorHAnsi" w:hAnsiTheme="majorHAnsi"/>
        </w:rPr>
        <w:t xml:space="preserve">[2] Universität Bremen, </w:t>
      </w:r>
      <w:r w:rsidRPr="002B5C80">
        <w:t>http://www.idn.uni-bremen.de/chemiedidaktik/material/Teilchen/SaeurenBasen/SaeurenBasen/sb3d1.htm</w:t>
      </w:r>
      <w:r>
        <w:t>, 2014 (</w:t>
      </w:r>
      <w:r>
        <w:rPr>
          <w:rFonts w:asciiTheme="majorHAnsi" w:hAnsiTheme="majorHAnsi"/>
        </w:rPr>
        <w:t>Zuletzt abgerufen am 11.08.2014, 18:28 Uhr)</w:t>
      </w:r>
    </w:p>
    <w:p w:rsidR="00B426A1" w:rsidRPr="009155B1" w:rsidRDefault="00B426A1" w:rsidP="00B426A1">
      <w:pPr>
        <w:jc w:val="left"/>
        <w:rPr>
          <w:rFonts w:asciiTheme="majorHAnsi" w:hAnsiTheme="majorHAnsi"/>
        </w:rPr>
      </w:pPr>
      <w:r>
        <w:rPr>
          <w:rFonts w:asciiTheme="majorHAnsi" w:hAnsiTheme="majorHAnsi"/>
        </w:rPr>
        <w:t xml:space="preserve">[3] M. </w:t>
      </w:r>
      <w:proofErr w:type="spellStart"/>
      <w:r>
        <w:rPr>
          <w:rFonts w:asciiTheme="majorHAnsi" w:hAnsiTheme="majorHAnsi"/>
        </w:rPr>
        <w:t>Nordholz</w:t>
      </w:r>
      <w:proofErr w:type="spellEnd"/>
      <w:r>
        <w:rPr>
          <w:rFonts w:asciiTheme="majorHAnsi" w:hAnsiTheme="majorHAnsi"/>
        </w:rPr>
        <w:t>, Dr. R. Herbst-Irmer, Praktikumsskript: Allgemeine und Anorganische Chemie, S.123, WS 2010/2011</w:t>
      </w:r>
    </w:p>
    <w:p w:rsidR="00B426A1" w:rsidRPr="006E32AF" w:rsidRDefault="00B426A1" w:rsidP="00B426A1">
      <w:pPr>
        <w:tabs>
          <w:tab w:val="left" w:pos="1701"/>
          <w:tab w:val="left" w:pos="1985"/>
        </w:tabs>
        <w:rPr>
          <w:rFonts w:eastAsiaTheme="minorEastAsia"/>
        </w:rPr>
      </w:pPr>
    </w:p>
    <w:p w:rsidR="00F73CC3" w:rsidRDefault="00B426A1" w:rsidP="00B426A1">
      <w:r>
        <w:br w:type="page"/>
      </w:r>
    </w:p>
    <w:sectPr w:rsidR="00F73CC3" w:rsidSect="00F73C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26A1"/>
    <w:rsid w:val="00197F45"/>
    <w:rsid w:val="00543EFB"/>
    <w:rsid w:val="006D3DD7"/>
    <w:rsid w:val="00786CE5"/>
    <w:rsid w:val="008C05EC"/>
    <w:rsid w:val="00992A99"/>
    <w:rsid w:val="00AA384C"/>
    <w:rsid w:val="00B36E62"/>
    <w:rsid w:val="00B426A1"/>
    <w:rsid w:val="00BC6427"/>
    <w:rsid w:val="00C07B09"/>
    <w:rsid w:val="00C312FB"/>
    <w:rsid w:val="00F73CC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26A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426A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426A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426A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426A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426A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426A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426A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426A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426A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26A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426A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426A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426A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426A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426A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426A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426A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426A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426A1"/>
    <w:pPr>
      <w:spacing w:line="240" w:lineRule="auto"/>
    </w:pPr>
    <w:rPr>
      <w:bCs/>
      <w:color w:val="auto"/>
      <w:sz w:val="18"/>
      <w:szCs w:val="18"/>
    </w:rPr>
  </w:style>
  <w:style w:type="table" w:styleId="Tabellengitternetz">
    <w:name w:val="Table Grid"/>
    <w:basedOn w:val="NormaleTabelle"/>
    <w:uiPriority w:val="59"/>
    <w:rsid w:val="00B42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B426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26A1"/>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2452</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5</cp:revision>
  <dcterms:created xsi:type="dcterms:W3CDTF">2014-08-26T14:48:00Z</dcterms:created>
  <dcterms:modified xsi:type="dcterms:W3CDTF">2014-08-31T08:24:00Z</dcterms:modified>
</cp:coreProperties>
</file>