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33" w:rsidRPr="00827033" w:rsidRDefault="004661B5" w:rsidP="00827033">
      <w:pPr>
        <w:pStyle w:val="berschrift2"/>
        <w:numPr>
          <w:ilvl w:val="0"/>
          <w:numId w:val="0"/>
        </w:numPr>
        <w:ind w:left="576" w:hanging="576"/>
        <w:rPr>
          <w:sz w:val="28"/>
        </w:rPr>
      </w:pPr>
      <w:bookmarkStart w:id="0" w:name="_Toc396835255"/>
      <w:r>
        <w:rPr>
          <w:noProof/>
          <w:lang w:eastAsia="de-DE"/>
        </w:rPr>
        <w:pict>
          <v:shapetype id="_x0000_t202" coordsize="21600,21600" o:spt="202" path="m,l,21600r21600,l21600,xe">
            <v:stroke joinstyle="miter"/>
            <v:path gradientshapeok="t" o:connecttype="rect"/>
          </v:shapetype>
          <v:shape id="_x0000_s1028" type="#_x0000_t202" style="position:absolute;left:0;text-align:left;margin-left:.55pt;margin-top:57.15pt;width:462.45pt;height:102.25pt;z-index:251660288;mso-width-relative:margin;mso-height-relative:margin" fillcolor="white [3201]" strokecolor="#4bacc6 [3208]" strokeweight="1pt">
            <v:stroke dashstyle="dash"/>
            <v:shadow color="#868686"/>
            <v:textbox style="mso-next-textbox:#_x0000_s1028">
              <w:txbxContent>
                <w:p w:rsidR="00827033" w:rsidRPr="000D10FB" w:rsidRDefault="00827033" w:rsidP="00827033">
                  <w:pPr>
                    <w:rPr>
                      <w:color w:val="1F497D" w:themeColor="text2"/>
                    </w:rPr>
                  </w:pPr>
                  <w:r>
                    <w:rPr>
                      <w:color w:val="1F497D" w:themeColor="text2"/>
                    </w:rPr>
                    <w:t>Anhand dieses Versuches soll den SuS gezeigt werden, dass Nichtmetalle auch in unserem alltäglichen Leben vorkommen. Durch den Nachweis der bei der Verbrennung der Reibefläche einer (oder mehrerer) Streichholzschachteln und anschließender Reaktion mit Wasser entstehenden Phosphorsäure kann nachgewiesen werden, dass roter Phosphor tatsächlich Bestandteil von Streichhölzern ist.</w:t>
                  </w:r>
                </w:p>
              </w:txbxContent>
            </v:textbox>
            <w10:wrap type="square"/>
          </v:shape>
        </w:pict>
      </w:r>
      <w:r w:rsidR="00827033" w:rsidRPr="00827033">
        <w:rPr>
          <w:sz w:val="28"/>
        </w:rPr>
        <w:t>V4 – Phosphorsäure aus der Streichholzschachtel</w:t>
      </w:r>
      <w:bookmarkEnd w:id="0"/>
    </w:p>
    <w:p w:rsidR="00827033" w:rsidRPr="00235787" w:rsidRDefault="00827033" w:rsidP="00827033"/>
    <w:p w:rsidR="00827033" w:rsidRDefault="00827033" w:rsidP="00827033">
      <w:pPr>
        <w:tabs>
          <w:tab w:val="left" w:pos="1701"/>
          <w:tab w:val="left" w:pos="1985"/>
        </w:tabs>
        <w:ind w:left="1980" w:hanging="1980"/>
      </w:pPr>
      <w:r>
        <w:t xml:space="preserve">Materialien: </w:t>
      </w:r>
      <w:r>
        <w:tab/>
      </w:r>
      <w:r>
        <w:tab/>
        <w:t>Streichholzschachteln, Messer oder Skalpell, Porzellanschale, Uhrglas</w:t>
      </w:r>
    </w:p>
    <w:p w:rsidR="00827033" w:rsidRPr="00072DC7" w:rsidRDefault="00827033" w:rsidP="00827033">
      <w:pPr>
        <w:tabs>
          <w:tab w:val="left" w:pos="1701"/>
          <w:tab w:val="left" w:pos="1985"/>
        </w:tabs>
      </w:pPr>
      <w:r>
        <w:t xml:space="preserve">Chemikalien: </w:t>
      </w:r>
      <w:r>
        <w:tab/>
      </w:r>
      <w:r>
        <w:tab/>
      </w:r>
      <w:proofErr w:type="spellStart"/>
      <w:r>
        <w:t>Thymolblau</w:t>
      </w:r>
      <w:proofErr w:type="spellEnd"/>
      <w:r>
        <w:t xml:space="preserve">, </w:t>
      </w:r>
      <w:proofErr w:type="spellStart"/>
      <w:r>
        <w:t>dest</w:t>
      </w:r>
      <w:proofErr w:type="spellEnd"/>
      <w:r>
        <w:t>. Wasser</w:t>
      </w:r>
      <w:r>
        <w:tab/>
      </w:r>
      <w:r>
        <w:tab/>
      </w:r>
      <w:r w:rsidRPr="00072DC7">
        <w:t xml:space="preserve"> </w:t>
      </w:r>
    </w:p>
    <w:p w:rsidR="00827033" w:rsidRDefault="00827033" w:rsidP="00827033">
      <w:pPr>
        <w:tabs>
          <w:tab w:val="left" w:pos="1701"/>
          <w:tab w:val="left" w:pos="1985"/>
        </w:tabs>
        <w:ind w:left="1980" w:hanging="1980"/>
      </w:pPr>
      <w:r>
        <w:t xml:space="preserve">Durchführung: </w:t>
      </w:r>
      <w:r>
        <w:tab/>
      </w:r>
      <w:r>
        <w:tab/>
        <w:t xml:space="preserve">Mit dem Messer werden die Reibeflächen von Streichholzschachteln in eine Porzellanschale gekratzt. Mit einem Glimmspan werden die Reibeflächen entzündet und unmittelbar ein Uhrglas auf die Porzellanschale gelegt. Anschließen wird auf das Uhrglas </w:t>
      </w:r>
      <w:proofErr w:type="spellStart"/>
      <w:r>
        <w:t>dest</w:t>
      </w:r>
      <w:proofErr w:type="spellEnd"/>
      <w:r>
        <w:t xml:space="preserve">. Wasser gegeben und ein paar Tropfen des Indikators </w:t>
      </w:r>
      <w:proofErr w:type="spellStart"/>
      <w:r>
        <w:t>Thymolblau</w:t>
      </w:r>
      <w:proofErr w:type="spellEnd"/>
      <w:r>
        <w:t xml:space="preserve"> hinzugegeben.</w:t>
      </w:r>
    </w:p>
    <w:p w:rsidR="00827033" w:rsidRDefault="004D559E" w:rsidP="00827033">
      <w:pPr>
        <w:tabs>
          <w:tab w:val="left" w:pos="1701"/>
          <w:tab w:val="left" w:pos="1985"/>
        </w:tabs>
        <w:ind w:left="1980" w:hanging="1980"/>
      </w:pPr>
      <w:r>
        <w:pict>
          <v:shape id="_x0000_s1030" type="#_x0000_t202" style="width:462.45pt;height:20.9pt;mso-position-horizontal-relative:char;mso-position-vertical-relative:line;mso-width-relative:margin;mso-height-relative:margin" fillcolor="white [3201]" strokecolor="#c0504d [3205]" strokeweight="1pt">
            <v:stroke dashstyle="dash"/>
            <v:shadow color="#868686"/>
            <v:textbox style="mso-next-textbox:#_x0000_s1030">
              <w:txbxContent>
                <w:p w:rsidR="00827033" w:rsidRPr="00762583" w:rsidRDefault="00827033" w:rsidP="00827033">
                  <w:pPr>
                    <w:rPr>
                      <w:color w:val="1F497D" w:themeColor="text2"/>
                    </w:rPr>
                  </w:pPr>
                  <w:r>
                    <w:rPr>
                      <w:color w:val="1F497D" w:themeColor="text2"/>
                    </w:rPr>
                    <w:t>Der Versuch sollte sicherheitshalber im Abzug durchgeführt werden.</w:t>
                  </w:r>
                </w:p>
              </w:txbxContent>
            </v:textbox>
            <w10:wrap type="none"/>
            <w10:anchorlock/>
          </v:shape>
        </w:pict>
      </w:r>
    </w:p>
    <w:p w:rsidR="00827033" w:rsidRDefault="00827033" w:rsidP="00827033">
      <w:pPr>
        <w:keepNext/>
        <w:tabs>
          <w:tab w:val="left" w:pos="1701"/>
          <w:tab w:val="left" w:pos="1985"/>
        </w:tabs>
        <w:ind w:left="1980" w:hanging="1980"/>
        <w:jc w:val="center"/>
      </w:pPr>
      <w:r>
        <w:rPr>
          <w:noProof/>
          <w:lang w:eastAsia="de-DE"/>
        </w:rPr>
        <w:drawing>
          <wp:inline distT="0" distB="0" distL="0" distR="0">
            <wp:extent cx="3733800" cy="2800350"/>
            <wp:effectExtent l="76200" t="95250" r="76200" b="95250"/>
            <wp:docPr id="18" name="Grafik 3" descr="DSC0088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88a.jpg"/>
                    <pic:cNvPicPr/>
                  </pic:nvPicPr>
                  <pic:blipFill>
                    <a:blip r:embed="rId5" cstate="print"/>
                    <a:stretch>
                      <a:fillRect/>
                    </a:stretch>
                  </pic:blipFill>
                  <pic:spPr>
                    <a:xfrm>
                      <a:off x="0" y="0"/>
                      <a:ext cx="3732565" cy="27994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27033" w:rsidRDefault="00827033" w:rsidP="00827033">
      <w:pPr>
        <w:pStyle w:val="Beschriftung"/>
        <w:jc w:val="center"/>
      </w:pPr>
      <w:r>
        <w:t xml:space="preserve">Abbildung </w:t>
      </w:r>
      <w:fldSimple w:instr=" SEQ Abbildung \* ARABIC ">
        <w:r>
          <w:rPr>
            <w:noProof/>
          </w:rPr>
          <w:t>5</w:t>
        </w:r>
      </w:fldSimple>
      <w:r>
        <w:t>: Versuchsdurchführung: Abgeriebene Streichholzköpfe werden entzündet</w:t>
      </w:r>
    </w:p>
    <w:p w:rsidR="00827033" w:rsidRDefault="00827033" w:rsidP="00827033">
      <w:pPr>
        <w:tabs>
          <w:tab w:val="left" w:pos="1701"/>
          <w:tab w:val="left" w:pos="1985"/>
        </w:tabs>
        <w:ind w:left="1980" w:hanging="1980"/>
      </w:pPr>
      <w:r>
        <w:lastRenderedPageBreak/>
        <w:t>Beobachtung:</w:t>
      </w:r>
      <w:r>
        <w:tab/>
      </w:r>
      <w:r>
        <w:tab/>
      </w:r>
      <w:r>
        <w:tab/>
        <w:t xml:space="preserve">Es bildet sich ein weißer Rauch. Am Uhrglas ist eine weiße Substanz zu erkennen. Nach </w:t>
      </w:r>
      <w:proofErr w:type="spellStart"/>
      <w:r>
        <w:t>Hinzugabe</w:t>
      </w:r>
      <w:proofErr w:type="spellEnd"/>
      <w:r>
        <w:t xml:space="preserve"> des </w:t>
      </w:r>
      <w:proofErr w:type="spellStart"/>
      <w:r>
        <w:t>dest</w:t>
      </w:r>
      <w:proofErr w:type="spellEnd"/>
      <w:r>
        <w:t>. Wassers und des Indikators schlägt</w:t>
      </w:r>
      <w:r w:rsidRPr="00711E34">
        <w:t xml:space="preserve"> </w:t>
      </w:r>
      <w:r>
        <w:t>dieser von blau zu gelb um dieser von blau zu gelb um.</w:t>
      </w:r>
    </w:p>
    <w:p w:rsidR="00827033" w:rsidRDefault="00827033" w:rsidP="00827033">
      <w:pPr>
        <w:keepNext/>
        <w:tabs>
          <w:tab w:val="left" w:pos="1701"/>
          <w:tab w:val="left" w:pos="1985"/>
        </w:tabs>
        <w:ind w:left="1980" w:hanging="1980"/>
        <w:jc w:val="center"/>
      </w:pPr>
      <w:r>
        <w:rPr>
          <w:noProof/>
          <w:lang w:eastAsia="de-DE"/>
        </w:rPr>
        <w:drawing>
          <wp:inline distT="0" distB="0" distL="0" distR="0">
            <wp:extent cx="2793717" cy="2600325"/>
            <wp:effectExtent l="114300" t="76200" r="120933" b="85725"/>
            <wp:docPr id="19" name="Grafik 11" descr="DSC0089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91b.jpg"/>
                    <pic:cNvPicPr/>
                  </pic:nvPicPr>
                  <pic:blipFill>
                    <a:blip r:embed="rId6" cstate="print"/>
                    <a:stretch>
                      <a:fillRect/>
                    </a:stretch>
                  </pic:blipFill>
                  <pic:spPr>
                    <a:xfrm>
                      <a:off x="0" y="0"/>
                      <a:ext cx="2793386" cy="26000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27033" w:rsidRDefault="00827033" w:rsidP="00827033">
      <w:pPr>
        <w:pStyle w:val="Beschriftung"/>
        <w:jc w:val="center"/>
      </w:pPr>
      <w:r>
        <w:t xml:space="preserve">Abbildung </w:t>
      </w:r>
      <w:fldSimple w:instr=" SEQ Abbildung \* ARABIC ">
        <w:r>
          <w:rPr>
            <w:noProof/>
          </w:rPr>
          <w:t>6</w:t>
        </w:r>
      </w:fldSimple>
      <w:r>
        <w:t>: Weißes Phosphor(V)-</w:t>
      </w:r>
      <w:proofErr w:type="spellStart"/>
      <w:r>
        <w:t>oxid</w:t>
      </w:r>
      <w:proofErr w:type="spellEnd"/>
      <w:r>
        <w:t xml:space="preserve"> setzt sich am Uhrglas ab</w:t>
      </w:r>
    </w:p>
    <w:p w:rsidR="00827033" w:rsidRDefault="00827033" w:rsidP="00827033">
      <w:pPr>
        <w:keepNext/>
        <w:tabs>
          <w:tab w:val="left" w:pos="1701"/>
          <w:tab w:val="left" w:pos="1985"/>
        </w:tabs>
        <w:ind w:left="1980" w:hanging="1980"/>
        <w:jc w:val="center"/>
      </w:pPr>
      <w:r>
        <w:rPr>
          <w:noProof/>
          <w:lang w:eastAsia="de-DE"/>
        </w:rPr>
        <w:drawing>
          <wp:inline distT="0" distB="0" distL="0" distR="0">
            <wp:extent cx="3670300" cy="2752725"/>
            <wp:effectExtent l="76200" t="95250" r="120650" b="104775"/>
            <wp:docPr id="20" name="Grafik 0" descr="DSC008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5a.jpg"/>
                    <pic:cNvPicPr/>
                  </pic:nvPicPr>
                  <pic:blipFill>
                    <a:blip r:embed="rId7" cstate="print"/>
                    <a:stretch>
                      <a:fillRect/>
                    </a:stretch>
                  </pic:blipFill>
                  <pic:spPr>
                    <a:xfrm flipH="1">
                      <a:off x="0" y="0"/>
                      <a:ext cx="3669087" cy="2751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27033" w:rsidRPr="00912056" w:rsidRDefault="00827033" w:rsidP="00827033">
      <w:pPr>
        <w:pStyle w:val="Beschriftung"/>
        <w:jc w:val="center"/>
      </w:pPr>
      <w:r>
        <w:t xml:space="preserve">Abbildung </w:t>
      </w:r>
      <w:fldSimple w:instr=" SEQ Abbildung \* ARABIC ">
        <w:r>
          <w:rPr>
            <w:noProof/>
          </w:rPr>
          <w:t>7</w:t>
        </w:r>
      </w:fldSimple>
      <w:r>
        <w:t xml:space="preserve">: Nach </w:t>
      </w:r>
      <w:proofErr w:type="spellStart"/>
      <w:r>
        <w:t>Hinzugabe</w:t>
      </w:r>
      <w:proofErr w:type="spellEnd"/>
      <w:r>
        <w:t xml:space="preserve"> von </w:t>
      </w:r>
      <w:proofErr w:type="spellStart"/>
      <w:r>
        <w:t>Thymolblau</w:t>
      </w:r>
      <w:proofErr w:type="spellEnd"/>
      <w:r>
        <w:t xml:space="preserve"> (links) ist ein Farbumschlag (rechts) zu erkennen</w:t>
      </w:r>
    </w:p>
    <w:p w:rsidR="00827033" w:rsidRDefault="00827033" w:rsidP="00827033">
      <w:pPr>
        <w:tabs>
          <w:tab w:val="left" w:pos="1985"/>
        </w:tabs>
        <w:ind w:left="1985" w:hanging="1985"/>
      </w:pPr>
      <w:r>
        <w:t xml:space="preserve">Deutung: </w:t>
      </w:r>
      <w:r>
        <w:tab/>
        <w:t>Die Reibeflächen von Streichhölzern enthalten roten Phosphor, welcher durch den Glimmspan entzündet wird. Es kommt zur Reaktion mit dem Sauerstoff aus der Luft, der rote Phosphor wird oxidiert und es entsteht Phosphor(V)-</w:t>
      </w:r>
      <w:proofErr w:type="spellStart"/>
      <w:r>
        <w:t>oxid</w:t>
      </w:r>
      <w:proofErr w:type="spellEnd"/>
      <w:r>
        <w:t>.</w:t>
      </w:r>
      <w:r>
        <w:tab/>
      </w:r>
    </w:p>
    <w:p w:rsidR="00827033" w:rsidRDefault="004D559E" w:rsidP="00827033">
      <w:pPr>
        <w:tabs>
          <w:tab w:val="left" w:pos="1701"/>
        </w:tabs>
        <w:jc w:val="center"/>
        <w:rPr>
          <w:rFonts w:eastAsiaTheme="minorEastAsia"/>
          <w:lang w:val="en-US"/>
        </w:rPr>
      </w:pPr>
      <m:oMath>
        <m:sSub>
          <m:sSubPr>
            <m:ctrlPr>
              <w:rPr>
                <w:rFonts w:ascii="Cambria Math" w:eastAsiaTheme="minorEastAsia" w:hAnsi="Cambria Math"/>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4 (s)</m:t>
            </m:r>
          </m:sub>
        </m:sSub>
        <m:r>
          <m:rPr>
            <m:sty m:val="p"/>
          </m:rPr>
          <w:rPr>
            <w:rFonts w:ascii="Cambria Math" w:eastAsiaTheme="minorEastAsia" w:hAnsi="Cambria Math"/>
            <w:lang w:val="en-US"/>
          </w:rPr>
          <m:t>+5</m:t>
        </m:r>
        <m:sSub>
          <m:sSubPr>
            <m:ctrlPr>
              <w:rPr>
                <w:rFonts w:ascii="Cambria Math" w:eastAsiaTheme="minorEastAsia" w:hAnsi="Cambria Math"/>
              </w:rPr>
            </m:ctrlPr>
          </m:sSubPr>
          <m:e>
            <m:r>
              <m:rPr>
                <m:sty m:val="p"/>
              </m:rPr>
              <w:rPr>
                <w:rFonts w:ascii="Cambria Math" w:eastAsiaTheme="minorEastAsia" w:hAnsi="Cambria Math"/>
                <w:lang w:val="en-US"/>
              </w:rPr>
              <m:t>O</m:t>
            </m:r>
          </m:e>
          <m:sub>
            <m:r>
              <m:rPr>
                <m:sty m:val="p"/>
              </m:rPr>
              <w:rPr>
                <w:rFonts w:ascii="Cambria Math" w:eastAsiaTheme="minorEastAsia" w:hAnsi="Cambria Math"/>
                <w:lang w:val="en-US"/>
              </w:rPr>
              <m:t>2 (g)</m:t>
            </m:r>
          </m:sub>
        </m:sSub>
        <m:r>
          <m:rPr>
            <m:sty m:val="p"/>
          </m:rPr>
          <w:rPr>
            <w:rFonts w:ascii="Cambria Math" w:eastAsiaTheme="minorEastAsia" w:hAnsi="Cambria Math"/>
            <w:lang w:val="en-US"/>
          </w:rPr>
          <m:t>→</m:t>
        </m:r>
        <m:sSub>
          <m:sSubPr>
            <m:ctrlPr>
              <w:rPr>
                <w:rFonts w:ascii="Cambria Math" w:eastAsiaTheme="minorEastAsia" w:hAnsi="Cambria Math"/>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4</m:t>
            </m:r>
          </m:sub>
        </m:sSub>
        <m:sSub>
          <m:sSubPr>
            <m:ctrlPr>
              <w:rPr>
                <w:rFonts w:ascii="Cambria Math" w:eastAsiaTheme="minorEastAsia" w:hAnsi="Cambria Math"/>
              </w:rPr>
            </m:ctrlPr>
          </m:sSubPr>
          <m:e>
            <m:r>
              <m:rPr>
                <m:sty m:val="p"/>
              </m:rPr>
              <w:rPr>
                <w:rFonts w:ascii="Cambria Math" w:eastAsiaTheme="minorEastAsia" w:hAnsi="Cambria Math"/>
                <w:lang w:val="en-US"/>
              </w:rPr>
              <m:t>O</m:t>
            </m:r>
          </m:e>
          <m:sub>
            <m:r>
              <m:rPr>
                <m:sty m:val="p"/>
              </m:rPr>
              <w:rPr>
                <w:rFonts w:ascii="Cambria Math" w:eastAsiaTheme="minorEastAsia" w:hAnsi="Cambria Math"/>
                <w:lang w:val="en-US"/>
              </w:rPr>
              <m:t>10 (s)</m:t>
            </m:r>
          </m:sub>
        </m:sSub>
      </m:oMath>
      <w:r w:rsidR="00827033" w:rsidRPr="00B45AB2">
        <w:rPr>
          <w:rFonts w:eastAsiaTheme="minorEastAsia"/>
          <w:lang w:val="en-US"/>
        </w:rPr>
        <w:t xml:space="preserve">      (</w:t>
      </w:r>
      <w:proofErr w:type="spellStart"/>
      <w:proofErr w:type="gramStart"/>
      <w:r w:rsidR="00827033" w:rsidRPr="00B45AB2">
        <w:rPr>
          <w:rFonts w:eastAsiaTheme="minorEastAsia"/>
          <w:lang w:val="en-US"/>
        </w:rPr>
        <w:t>exot</w:t>
      </w:r>
      <w:r w:rsidR="00827033">
        <w:rPr>
          <w:rFonts w:eastAsiaTheme="minorEastAsia"/>
          <w:lang w:val="en-US"/>
        </w:rPr>
        <w:t>herm</w:t>
      </w:r>
      <w:proofErr w:type="spellEnd"/>
      <w:proofErr w:type="gramEnd"/>
      <w:r w:rsidR="00827033">
        <w:rPr>
          <w:rFonts w:eastAsiaTheme="minorEastAsia"/>
          <w:lang w:val="en-US"/>
        </w:rPr>
        <w:t>)</w:t>
      </w:r>
    </w:p>
    <w:p w:rsidR="00827033" w:rsidRPr="00B45AB2" w:rsidRDefault="00827033" w:rsidP="00827033">
      <w:pPr>
        <w:tabs>
          <w:tab w:val="left" w:pos="1701"/>
        </w:tabs>
        <w:rPr>
          <w:rFonts w:eastAsiaTheme="minorEastAsia"/>
        </w:rPr>
      </w:pPr>
      <w:r w:rsidRPr="00B45AB2">
        <w:rPr>
          <w:rFonts w:eastAsiaTheme="minorEastAsia"/>
        </w:rPr>
        <w:lastRenderedPageBreak/>
        <w:t xml:space="preserve">Durch </w:t>
      </w:r>
      <w:proofErr w:type="spellStart"/>
      <w:r w:rsidRPr="00B45AB2">
        <w:rPr>
          <w:rFonts w:eastAsiaTheme="minorEastAsia"/>
        </w:rPr>
        <w:t>Hinzugabe</w:t>
      </w:r>
      <w:proofErr w:type="spellEnd"/>
      <w:r w:rsidRPr="00B45AB2">
        <w:rPr>
          <w:rFonts w:eastAsiaTheme="minorEastAsia"/>
        </w:rPr>
        <w:t xml:space="preserve"> von Wasser r</w:t>
      </w:r>
      <w:r>
        <w:rPr>
          <w:rFonts w:eastAsiaTheme="minorEastAsia"/>
        </w:rPr>
        <w:t xml:space="preserve">eagiert </w:t>
      </w:r>
      <w:r>
        <w:t>Phosphor(V)-</w:t>
      </w:r>
      <w:proofErr w:type="spellStart"/>
      <w:r>
        <w:t>oxid</w:t>
      </w:r>
      <w:proofErr w:type="spellEnd"/>
      <w:r>
        <w:t xml:space="preserve"> zu Phosphorsäure:</w:t>
      </w:r>
    </w:p>
    <w:p w:rsidR="00827033" w:rsidRDefault="004D559E" w:rsidP="00827033">
      <w:pPr>
        <w:tabs>
          <w:tab w:val="left" w:pos="1701"/>
        </w:tabs>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4</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10 (s)</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6H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4H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PO</m:t>
              </m:r>
            </m:e>
            <m:sub>
              <m:r>
                <m:rPr>
                  <m:sty m:val="p"/>
                </m:rPr>
                <w:rPr>
                  <w:rFonts w:ascii="Cambria Math" w:eastAsiaTheme="minorEastAsia" w:hAnsi="Cambria Math"/>
                </w:rPr>
                <m:t>4 (l)</m:t>
              </m:r>
            </m:sub>
          </m:sSub>
        </m:oMath>
      </m:oMathPara>
    </w:p>
    <w:p w:rsidR="00827033" w:rsidRPr="00B45AB2" w:rsidRDefault="00827033" w:rsidP="00827033">
      <w:pPr>
        <w:tabs>
          <w:tab w:val="left" w:pos="1701"/>
        </w:tabs>
        <w:rPr>
          <w:rFonts w:eastAsiaTheme="minorEastAsia"/>
        </w:rPr>
      </w:pPr>
      <w:r>
        <w:rPr>
          <w:rFonts w:eastAsiaTheme="minorEastAsia"/>
        </w:rPr>
        <w:t>Die Phosphorsäure bewirkt den Farbumschlag des Indikators von blau (pH 8) nach gelb (pH 3-7). Die Phosphorsäure ist schwach konzentriert.</w:t>
      </w:r>
    </w:p>
    <w:p w:rsidR="00827033" w:rsidRDefault="004D559E" w:rsidP="00827033">
      <w:pPr>
        <w:jc w:val="left"/>
      </w:pPr>
      <w:r>
        <w:pict>
          <v:shape id="_x0000_s1029" type="#_x0000_t202" style="width:462.45pt;height:114.65pt;mso-position-horizontal-relative:char;mso-position-vertical-relative:line;mso-width-relative:margin;mso-height-relative:margin" fillcolor="white [3201]" strokecolor="#c0504d [3205]" strokeweight="1pt">
            <v:stroke dashstyle="dash"/>
            <v:shadow color="#868686"/>
            <v:textbox style="mso-next-textbox:#_x0000_s1029">
              <w:txbxContent>
                <w:p w:rsidR="00827033" w:rsidRPr="00762583" w:rsidRDefault="00827033" w:rsidP="00827033">
                  <w:pPr>
                    <w:rPr>
                      <w:color w:val="1F497D" w:themeColor="text2"/>
                    </w:rPr>
                  </w:pPr>
                  <w:r w:rsidRPr="00762583">
                    <w:rPr>
                      <w:color w:val="1F497D" w:themeColor="text2"/>
                    </w:rPr>
                    <w:t>Den bei der Verbrennung entstandenen Rauch nicht einatmen, da eine ätzende Verbindung entsteht!</w:t>
                  </w:r>
                </w:p>
                <w:p w:rsidR="00827033" w:rsidRPr="00762583" w:rsidRDefault="00827033" w:rsidP="00827033">
                  <w:pPr>
                    <w:rPr>
                      <w:color w:val="1F497D" w:themeColor="text2"/>
                    </w:rPr>
                  </w:pPr>
                  <w:r w:rsidRPr="00762583">
                    <w:rPr>
                      <w:color w:val="1F497D" w:themeColor="text2"/>
                    </w:rPr>
                    <w:t xml:space="preserve">Das Schülerexperiment kann gegen Ende der Unterrichtseinheit Verbrennungs- und </w:t>
                  </w:r>
                  <w:proofErr w:type="spellStart"/>
                  <w:r w:rsidRPr="00762583">
                    <w:rPr>
                      <w:color w:val="1F497D" w:themeColor="text2"/>
                    </w:rPr>
                    <w:t>Sauerstoffübertragungsreakionen</w:t>
                  </w:r>
                  <w:proofErr w:type="spellEnd"/>
                  <w:r w:rsidRPr="00762583">
                    <w:rPr>
                      <w:color w:val="1F497D" w:themeColor="text2"/>
                    </w:rPr>
                    <w:t xml:space="preserve"> zum Thema Nichtmetalle durchgeführt werden, um den SuS deren Alltagsrelevanz näher zu bringen.</w:t>
                  </w:r>
                </w:p>
              </w:txbxContent>
            </v:textbox>
            <w10:wrap type="none"/>
            <w10:anchorlock/>
          </v:shape>
        </w:pict>
      </w:r>
    </w:p>
    <w:p w:rsidR="00827033" w:rsidRDefault="00827033" w:rsidP="00827033">
      <w:pPr>
        <w:jc w:val="left"/>
      </w:pPr>
      <w:r>
        <w:t xml:space="preserve">Literatur: </w:t>
      </w:r>
    </w:p>
    <w:p w:rsidR="00827033" w:rsidRDefault="00827033" w:rsidP="00827033">
      <w:pPr>
        <w:jc w:val="left"/>
        <w:rPr>
          <w:rFonts w:asciiTheme="majorHAnsi" w:hAnsiTheme="majorHAnsi"/>
        </w:rPr>
      </w:pPr>
      <w:r>
        <w:t xml:space="preserve">[1] </w:t>
      </w:r>
      <w:r w:rsidRPr="00225BD8">
        <w:t>D</w:t>
      </w:r>
      <w:r>
        <w:t xml:space="preserve">. </w:t>
      </w:r>
      <w:proofErr w:type="spellStart"/>
      <w:r w:rsidRPr="00225BD8">
        <w:t>Wiechoczek</w:t>
      </w:r>
      <w:proofErr w:type="spellEnd"/>
      <w:r>
        <w:t>,</w:t>
      </w:r>
      <w:r w:rsidRPr="00912056">
        <w:t> </w:t>
      </w:r>
      <w:r w:rsidRPr="00592EDC">
        <w:t>http://www.chemieunterricht.de/dc2/haus/v130.htm</w:t>
      </w:r>
      <w:r>
        <w:t>, 5.Frebruar 2012 (</w:t>
      </w:r>
      <w:r>
        <w:rPr>
          <w:rFonts w:asciiTheme="majorHAnsi" w:hAnsiTheme="majorHAnsi"/>
        </w:rPr>
        <w:t>Zuletzt abgerufen am 12.08.2014, 08:03 Uhr</w:t>
      </w:r>
    </w:p>
    <w:p w:rsidR="00F73CC3" w:rsidRDefault="00F73CC3"/>
    <w:sectPr w:rsidR="00F73CC3" w:rsidSect="00F73C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7033"/>
    <w:rsid w:val="000545EB"/>
    <w:rsid w:val="004661B5"/>
    <w:rsid w:val="004D559E"/>
    <w:rsid w:val="00827033"/>
    <w:rsid w:val="00ED0705"/>
    <w:rsid w:val="00F73C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703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2703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2703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703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2703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2703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270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270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2703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270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703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2703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2703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2703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2703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2703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2703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270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2703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2703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270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703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1559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2</cp:revision>
  <dcterms:created xsi:type="dcterms:W3CDTF">2014-08-26T14:51:00Z</dcterms:created>
  <dcterms:modified xsi:type="dcterms:W3CDTF">2014-08-27T05:50:00Z</dcterms:modified>
</cp:coreProperties>
</file>