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1C8C" w:rsidRDefault="00C71C8C" w:rsidP="00C71C8C">
      <w:pPr>
        <w:tabs>
          <w:tab w:val="left" w:pos="1701"/>
          <w:tab w:val="left" w:pos="1985"/>
        </w:tabs>
        <w:rPr>
          <w:color w:val="1F497D" w:themeColor="text2"/>
        </w:rPr>
      </w:pPr>
      <w:r>
        <w:rPr>
          <w:b/>
          <w:sz w:val="28"/>
        </w:rPr>
        <w:t>Arbeitsblatt – Phosphorsäure aus der Streichholzschachtel</w:t>
      </w:r>
    </w:p>
    <w:p w:rsidR="00C71C8C" w:rsidRPr="00EC4F7F" w:rsidRDefault="00C71C8C" w:rsidP="00C71C8C">
      <w:pPr>
        <w:pStyle w:val="Listenabsatz"/>
        <w:numPr>
          <w:ilvl w:val="0"/>
          <w:numId w:val="2"/>
        </w:numPr>
        <w:tabs>
          <w:tab w:val="left" w:pos="1701"/>
          <w:tab w:val="left" w:pos="1985"/>
        </w:tabs>
        <w:rPr>
          <w:rFonts w:asciiTheme="majorHAnsi" w:hAnsiTheme="majorHAnsi"/>
          <w:b/>
        </w:rPr>
      </w:pPr>
      <w:r w:rsidRPr="00EC4F7F">
        <w:rPr>
          <w:rFonts w:asciiTheme="majorHAnsi" w:hAnsiTheme="majorHAnsi"/>
          <w:b/>
        </w:rPr>
        <w:t xml:space="preserve">Lies </w:t>
      </w:r>
      <w:r>
        <w:rPr>
          <w:rFonts w:asciiTheme="majorHAnsi" w:hAnsiTheme="majorHAnsi"/>
          <w:b/>
        </w:rPr>
        <w:t xml:space="preserve">die Versuchsdurchführung genau </w:t>
      </w:r>
      <w:r w:rsidRPr="00EC4F7F">
        <w:rPr>
          <w:rFonts w:asciiTheme="majorHAnsi" w:hAnsiTheme="majorHAnsi"/>
          <w:b/>
        </w:rPr>
        <w:t>und führe den Versuch durch!</w:t>
      </w:r>
    </w:p>
    <w:p w:rsidR="00C71C8C" w:rsidRDefault="00C71C8C" w:rsidP="00C71C8C">
      <w:pPr>
        <w:tabs>
          <w:tab w:val="left" w:pos="1701"/>
          <w:tab w:val="left" w:pos="1985"/>
        </w:tabs>
        <w:ind w:left="1980" w:hanging="1980"/>
        <w:rPr>
          <w:u w:val="single"/>
        </w:rPr>
      </w:pPr>
      <w:r w:rsidRPr="00907E72">
        <w:rPr>
          <w:u w:val="single"/>
        </w:rPr>
        <w:t>Materialien:</w:t>
      </w:r>
      <w:r w:rsidRPr="006E6439">
        <w:t xml:space="preserve"> </w:t>
      </w:r>
      <w:r>
        <w:t>Streichholzschachteln, Messer, Porzellanschale, Uhrglas</w:t>
      </w:r>
      <w:r w:rsidRPr="00907E72">
        <w:rPr>
          <w:u w:val="single"/>
        </w:rPr>
        <w:t xml:space="preserve"> </w:t>
      </w:r>
    </w:p>
    <w:p w:rsidR="00C71C8C" w:rsidRDefault="00C71C8C" w:rsidP="00C71C8C">
      <w:pPr>
        <w:tabs>
          <w:tab w:val="left" w:pos="1701"/>
          <w:tab w:val="left" w:pos="1985"/>
        </w:tabs>
        <w:spacing w:after="0"/>
        <w:ind w:left="1980" w:hanging="1980"/>
      </w:pPr>
      <w:r w:rsidRPr="00907E72">
        <w:rPr>
          <w:u w:val="single"/>
        </w:rPr>
        <w:t>Chemikalien:</w:t>
      </w:r>
      <w:r w:rsidRPr="00907E72">
        <w:t xml:space="preserve"> </w:t>
      </w:r>
      <w:proofErr w:type="spellStart"/>
      <w:r>
        <w:t>Thymolblau</w:t>
      </w:r>
      <w:proofErr w:type="spellEnd"/>
      <w:r>
        <w:t xml:space="preserve">, </w:t>
      </w:r>
      <w:proofErr w:type="spellStart"/>
      <w:r>
        <w:t>dest</w:t>
      </w:r>
      <w:proofErr w:type="spellEnd"/>
      <w:r>
        <w:t>. Wasser</w:t>
      </w:r>
    </w:p>
    <w:p w:rsidR="00C71C8C" w:rsidRDefault="00C71C8C" w:rsidP="00C71C8C">
      <w:pPr>
        <w:tabs>
          <w:tab w:val="left" w:pos="1701"/>
          <w:tab w:val="left" w:pos="1985"/>
        </w:tabs>
        <w:spacing w:after="0"/>
        <w:ind w:left="1980" w:hanging="1980"/>
      </w:pPr>
    </w:p>
    <w:p w:rsidR="00C71C8C" w:rsidRPr="00907E72" w:rsidRDefault="00C71C8C" w:rsidP="00C71C8C">
      <w:pPr>
        <w:tabs>
          <w:tab w:val="left" w:pos="1701"/>
          <w:tab w:val="left" w:pos="1985"/>
        </w:tabs>
        <w:ind w:left="360"/>
        <w:jc w:val="center"/>
      </w:pPr>
      <w:r>
        <w:rPr>
          <w:noProof/>
          <w:lang w:eastAsia="de-DE"/>
        </w:rPr>
        <w:drawing>
          <wp:inline distT="0" distB="0" distL="0" distR="0">
            <wp:extent cx="2895600" cy="2171700"/>
            <wp:effectExtent l="19050" t="0" r="0" b="0"/>
            <wp:docPr id="26" name="Grafik 15" descr="DSC00888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0888a.jpg"/>
                    <pic:cNvPicPr/>
                  </pic:nvPicPr>
                  <pic:blipFill>
                    <a:blip r:embed="rId5" cstate="print"/>
                    <a:stretch>
                      <a:fillRect/>
                    </a:stretch>
                  </pic:blipFill>
                  <pic:spPr>
                    <a:xfrm>
                      <a:off x="0" y="0"/>
                      <a:ext cx="2894643" cy="2170983"/>
                    </a:xfrm>
                    <a:prstGeom prst="rect">
                      <a:avLst/>
                    </a:prstGeom>
                  </pic:spPr>
                </pic:pic>
              </a:graphicData>
            </a:graphic>
          </wp:inline>
        </w:drawing>
      </w:r>
    </w:p>
    <w:p w:rsidR="00C71C8C" w:rsidRDefault="00C71C8C" w:rsidP="00C71C8C">
      <w:pPr>
        <w:tabs>
          <w:tab w:val="left" w:pos="1701"/>
          <w:tab w:val="left" w:pos="1985"/>
        </w:tabs>
        <w:spacing w:after="0"/>
        <w:rPr>
          <w:u w:val="single"/>
        </w:rPr>
      </w:pPr>
    </w:p>
    <w:p w:rsidR="00C71C8C" w:rsidRPr="00EC4F7F" w:rsidRDefault="00C71C8C" w:rsidP="00C71C8C">
      <w:pPr>
        <w:tabs>
          <w:tab w:val="left" w:pos="1701"/>
          <w:tab w:val="left" w:pos="1985"/>
        </w:tabs>
        <w:spacing w:after="0"/>
        <w:rPr>
          <w:u w:val="single"/>
        </w:rPr>
      </w:pPr>
      <w:r w:rsidRPr="00EC4F7F">
        <w:rPr>
          <w:u w:val="single"/>
        </w:rPr>
        <w:t>Durchführung:</w:t>
      </w:r>
    </w:p>
    <w:p w:rsidR="00C71C8C" w:rsidRDefault="00C71C8C" w:rsidP="00C71C8C">
      <w:pPr>
        <w:tabs>
          <w:tab w:val="left" w:pos="1701"/>
          <w:tab w:val="left" w:pos="1985"/>
        </w:tabs>
        <w:spacing w:after="0"/>
      </w:pPr>
      <w:r>
        <w:t xml:space="preserve">Mit dem Messer werden die </w:t>
      </w:r>
      <w:proofErr w:type="spellStart"/>
      <w:r>
        <w:t>Reibefächen</w:t>
      </w:r>
      <w:proofErr w:type="spellEnd"/>
      <w:r>
        <w:t xml:space="preserve"> von Streichholzschachteln in eine Porzellanschale g</w:t>
      </w:r>
      <w:r>
        <w:t>e</w:t>
      </w:r>
      <w:r>
        <w:t xml:space="preserve">kratzt. Mit einem Glimmspan werden die Reibeflächen entzündet und unmittelbar ein Uhrglas auf die Porzellanschale gelegt. Anschließen wird auf das Uhrglas </w:t>
      </w:r>
      <w:proofErr w:type="spellStart"/>
      <w:r>
        <w:t>dest</w:t>
      </w:r>
      <w:proofErr w:type="spellEnd"/>
      <w:r>
        <w:t xml:space="preserve">. Wasser gegeben und ein paar Tropfen des Indikators </w:t>
      </w:r>
      <w:proofErr w:type="spellStart"/>
      <w:r>
        <w:t>Thymolblau</w:t>
      </w:r>
      <w:proofErr w:type="spellEnd"/>
      <w:r>
        <w:t xml:space="preserve"> hinzugegeben.</w:t>
      </w:r>
    </w:p>
    <w:p w:rsidR="00C71C8C" w:rsidRDefault="00C71C8C" w:rsidP="00C71C8C">
      <w:pPr>
        <w:tabs>
          <w:tab w:val="left" w:pos="1701"/>
          <w:tab w:val="left" w:pos="1985"/>
        </w:tabs>
        <w:spacing w:after="0"/>
      </w:pPr>
    </w:p>
    <w:p w:rsidR="00C71C8C" w:rsidRPr="00762583" w:rsidRDefault="00C71C8C" w:rsidP="00C71C8C">
      <w:pPr>
        <w:tabs>
          <w:tab w:val="left" w:pos="1701"/>
          <w:tab w:val="left" w:pos="1985"/>
        </w:tabs>
        <w:spacing w:after="0"/>
        <w:rPr>
          <w:rFonts w:asciiTheme="majorHAnsi" w:hAnsiTheme="majorHAnsi"/>
          <w:b/>
        </w:rPr>
      </w:pPr>
      <w:r w:rsidRPr="00421BFA">
        <w:pict>
          <v:shapetype id="_x0000_t202" coordsize="21600,21600" o:spt="202" path="m,l,21600r21600,l21600,xe">
            <v:stroke joinstyle="miter"/>
            <v:path gradientshapeok="t" o:connecttype="rect"/>
          </v:shapetype>
          <v:shape id="_x0000_s1026" type="#_x0000_t202" style="width:462.45pt;height:20.9pt;mso-position-horizontal-relative:char;mso-position-vertical-relative:line;mso-width-relative:margin;mso-height-relative:margin" fillcolor="white [3201]" strokecolor="#c0504d [3205]" strokeweight="1pt">
            <v:stroke dashstyle="dash"/>
            <v:shadow color="#868686"/>
            <v:textbox style="mso-next-textbox:#_x0000_s1026">
              <w:txbxContent>
                <w:p w:rsidR="00C71C8C" w:rsidRPr="00762583" w:rsidRDefault="00C71C8C" w:rsidP="00C71C8C">
                  <w:pPr>
                    <w:rPr>
                      <w:color w:val="1F497D" w:themeColor="text2"/>
                    </w:rPr>
                  </w:pPr>
                  <w:r>
                    <w:rPr>
                      <w:color w:val="1F497D" w:themeColor="text2"/>
                    </w:rPr>
                    <w:t>Der Versuch wird im Abzug durchgeführt!</w:t>
                  </w:r>
                </w:p>
              </w:txbxContent>
            </v:textbox>
            <w10:wrap type="none"/>
            <w10:anchorlock/>
          </v:shape>
        </w:pict>
      </w:r>
    </w:p>
    <w:p w:rsidR="00C71C8C" w:rsidRPr="00EC4F7F" w:rsidRDefault="00C71C8C" w:rsidP="00C71C8C">
      <w:pPr>
        <w:tabs>
          <w:tab w:val="left" w:pos="1701"/>
          <w:tab w:val="left" w:pos="1985"/>
        </w:tabs>
        <w:spacing w:after="0"/>
        <w:rPr>
          <w:rFonts w:asciiTheme="majorHAnsi" w:hAnsiTheme="majorHAnsi"/>
          <w:b/>
        </w:rPr>
      </w:pPr>
    </w:p>
    <w:p w:rsidR="00C71C8C" w:rsidRDefault="00C71C8C" w:rsidP="00C71C8C">
      <w:pPr>
        <w:pStyle w:val="Listenabsatz"/>
        <w:numPr>
          <w:ilvl w:val="0"/>
          <w:numId w:val="2"/>
        </w:numPr>
        <w:tabs>
          <w:tab w:val="left" w:pos="1701"/>
          <w:tab w:val="left" w:pos="1985"/>
        </w:tabs>
        <w:spacing w:after="0"/>
        <w:rPr>
          <w:rFonts w:asciiTheme="majorHAnsi" w:hAnsiTheme="majorHAnsi"/>
          <w:b/>
        </w:rPr>
      </w:pPr>
      <w:r>
        <w:rPr>
          <w:rFonts w:asciiTheme="majorHAnsi" w:hAnsiTheme="majorHAnsi"/>
          <w:b/>
        </w:rPr>
        <w:t>Dokumentiere deine Beobachtung!</w:t>
      </w:r>
    </w:p>
    <w:p w:rsidR="00C71C8C" w:rsidRPr="006E6439" w:rsidRDefault="00C71C8C" w:rsidP="00C71C8C">
      <w:pPr>
        <w:pStyle w:val="Listenabsatz"/>
        <w:tabs>
          <w:tab w:val="left" w:pos="1701"/>
          <w:tab w:val="left" w:pos="1985"/>
        </w:tabs>
        <w:spacing w:after="0"/>
        <w:ind w:left="360"/>
        <w:rPr>
          <w:rFonts w:asciiTheme="majorHAnsi" w:hAnsiTheme="majorHAnsi"/>
          <w:b/>
        </w:rPr>
      </w:pPr>
    </w:p>
    <w:tbl>
      <w:tblPr>
        <w:tblStyle w:val="Tabellengitternetz"/>
        <w:tblW w:w="0" w:type="auto"/>
        <w:tblInd w:w="108" w:type="dxa"/>
        <w:tblBorders>
          <w:left w:val="none" w:sz="0" w:space="0" w:color="auto"/>
          <w:right w:val="none" w:sz="0" w:space="0" w:color="auto"/>
        </w:tblBorders>
        <w:tblLook w:val="04A0"/>
      </w:tblPr>
      <w:tblGrid>
        <w:gridCol w:w="9180"/>
      </w:tblGrid>
      <w:tr w:rsidR="00C71C8C" w:rsidTr="00D627A7">
        <w:tc>
          <w:tcPr>
            <w:tcW w:w="9180" w:type="dxa"/>
            <w:tcBorders>
              <w:top w:val="single" w:sz="12" w:space="0" w:color="auto"/>
              <w:bottom w:val="single" w:sz="12" w:space="0" w:color="auto"/>
            </w:tcBorders>
          </w:tcPr>
          <w:p w:rsidR="00C71C8C" w:rsidRDefault="00C71C8C" w:rsidP="00D627A7">
            <w:pPr>
              <w:tabs>
                <w:tab w:val="left" w:pos="1701"/>
                <w:tab w:val="left" w:pos="1985"/>
              </w:tabs>
              <w:rPr>
                <w:b/>
              </w:rPr>
            </w:pPr>
          </w:p>
        </w:tc>
      </w:tr>
      <w:tr w:rsidR="00C71C8C" w:rsidTr="00D627A7">
        <w:tc>
          <w:tcPr>
            <w:tcW w:w="9180" w:type="dxa"/>
            <w:tcBorders>
              <w:top w:val="single" w:sz="12" w:space="0" w:color="auto"/>
              <w:bottom w:val="single" w:sz="12" w:space="0" w:color="auto"/>
            </w:tcBorders>
          </w:tcPr>
          <w:p w:rsidR="00C71C8C" w:rsidRDefault="00C71C8C" w:rsidP="00D627A7">
            <w:pPr>
              <w:tabs>
                <w:tab w:val="left" w:pos="1701"/>
                <w:tab w:val="left" w:pos="1985"/>
              </w:tabs>
              <w:rPr>
                <w:b/>
              </w:rPr>
            </w:pPr>
          </w:p>
        </w:tc>
      </w:tr>
      <w:tr w:rsidR="00C71C8C" w:rsidTr="00D627A7">
        <w:tc>
          <w:tcPr>
            <w:tcW w:w="9180" w:type="dxa"/>
            <w:tcBorders>
              <w:top w:val="single" w:sz="12" w:space="0" w:color="auto"/>
              <w:bottom w:val="single" w:sz="12" w:space="0" w:color="auto"/>
            </w:tcBorders>
          </w:tcPr>
          <w:p w:rsidR="00C71C8C" w:rsidRDefault="00C71C8C" w:rsidP="00D627A7">
            <w:pPr>
              <w:tabs>
                <w:tab w:val="left" w:pos="1701"/>
                <w:tab w:val="left" w:pos="1985"/>
              </w:tabs>
              <w:rPr>
                <w:b/>
              </w:rPr>
            </w:pPr>
          </w:p>
        </w:tc>
      </w:tr>
    </w:tbl>
    <w:p w:rsidR="00C71C8C" w:rsidRPr="00DA62D8" w:rsidRDefault="00C71C8C" w:rsidP="00C71C8C">
      <w:pPr>
        <w:tabs>
          <w:tab w:val="left" w:pos="1701"/>
          <w:tab w:val="left" w:pos="1985"/>
        </w:tabs>
        <w:ind w:left="1980" w:hanging="1980"/>
        <w:rPr>
          <w:b/>
        </w:rPr>
      </w:pPr>
    </w:p>
    <w:p w:rsidR="00C71C8C" w:rsidRPr="006E6439" w:rsidRDefault="00C71C8C" w:rsidP="00C71C8C">
      <w:pPr>
        <w:pStyle w:val="Listenabsatz"/>
        <w:numPr>
          <w:ilvl w:val="0"/>
          <w:numId w:val="2"/>
        </w:numPr>
        <w:tabs>
          <w:tab w:val="left" w:pos="1701"/>
          <w:tab w:val="left" w:pos="1985"/>
        </w:tabs>
        <w:spacing w:after="0"/>
        <w:rPr>
          <w:b/>
        </w:rPr>
      </w:pPr>
      <w:r w:rsidRPr="00324AD9">
        <w:rPr>
          <w:rFonts w:asciiTheme="majorHAnsi" w:hAnsiTheme="majorHAnsi"/>
          <w:b/>
        </w:rPr>
        <w:t>Deute den Versuch</w:t>
      </w:r>
      <w:r>
        <w:rPr>
          <w:rFonts w:asciiTheme="majorHAnsi" w:hAnsiTheme="majorHAnsi"/>
          <w:b/>
        </w:rPr>
        <w:t>!</w:t>
      </w:r>
    </w:p>
    <w:p w:rsidR="00C71C8C" w:rsidRPr="006E6439" w:rsidRDefault="00C71C8C" w:rsidP="00C71C8C">
      <w:pPr>
        <w:pStyle w:val="Listenabsatz"/>
        <w:tabs>
          <w:tab w:val="left" w:pos="1701"/>
          <w:tab w:val="left" w:pos="1985"/>
        </w:tabs>
        <w:spacing w:after="0"/>
        <w:ind w:left="360"/>
        <w:rPr>
          <w:b/>
        </w:rPr>
      </w:pPr>
    </w:p>
    <w:tbl>
      <w:tblPr>
        <w:tblStyle w:val="Tabellengitternetz"/>
        <w:tblW w:w="0" w:type="auto"/>
        <w:tblInd w:w="108" w:type="dxa"/>
        <w:tblBorders>
          <w:left w:val="none" w:sz="0" w:space="0" w:color="auto"/>
          <w:right w:val="none" w:sz="0" w:space="0" w:color="auto"/>
        </w:tblBorders>
        <w:tblLook w:val="04A0"/>
      </w:tblPr>
      <w:tblGrid>
        <w:gridCol w:w="9180"/>
      </w:tblGrid>
      <w:tr w:rsidR="00C71C8C" w:rsidTr="00D627A7">
        <w:tc>
          <w:tcPr>
            <w:tcW w:w="9180" w:type="dxa"/>
            <w:tcBorders>
              <w:top w:val="single" w:sz="12" w:space="0" w:color="auto"/>
              <w:bottom w:val="single" w:sz="12" w:space="0" w:color="auto"/>
            </w:tcBorders>
          </w:tcPr>
          <w:p w:rsidR="00C71C8C" w:rsidRDefault="00C71C8C" w:rsidP="00D627A7">
            <w:pPr>
              <w:tabs>
                <w:tab w:val="left" w:pos="1701"/>
                <w:tab w:val="left" w:pos="1985"/>
              </w:tabs>
              <w:rPr>
                <w:b/>
              </w:rPr>
            </w:pPr>
          </w:p>
        </w:tc>
      </w:tr>
      <w:tr w:rsidR="00C71C8C" w:rsidTr="00D627A7">
        <w:tc>
          <w:tcPr>
            <w:tcW w:w="9180" w:type="dxa"/>
            <w:tcBorders>
              <w:top w:val="single" w:sz="12" w:space="0" w:color="auto"/>
              <w:bottom w:val="single" w:sz="12" w:space="0" w:color="auto"/>
            </w:tcBorders>
          </w:tcPr>
          <w:p w:rsidR="00C71C8C" w:rsidRDefault="00C71C8C" w:rsidP="00D627A7">
            <w:pPr>
              <w:tabs>
                <w:tab w:val="left" w:pos="1701"/>
                <w:tab w:val="left" w:pos="1985"/>
              </w:tabs>
              <w:rPr>
                <w:b/>
              </w:rPr>
            </w:pPr>
          </w:p>
        </w:tc>
      </w:tr>
      <w:tr w:rsidR="00C71C8C" w:rsidTr="00D627A7">
        <w:tc>
          <w:tcPr>
            <w:tcW w:w="9180" w:type="dxa"/>
            <w:tcBorders>
              <w:top w:val="single" w:sz="12" w:space="0" w:color="auto"/>
              <w:bottom w:val="single" w:sz="12" w:space="0" w:color="auto"/>
            </w:tcBorders>
          </w:tcPr>
          <w:p w:rsidR="00C71C8C" w:rsidRDefault="00C71C8C" w:rsidP="00D627A7">
            <w:pPr>
              <w:tabs>
                <w:tab w:val="left" w:pos="1701"/>
                <w:tab w:val="left" w:pos="1985"/>
              </w:tabs>
              <w:rPr>
                <w:b/>
              </w:rPr>
            </w:pPr>
          </w:p>
        </w:tc>
      </w:tr>
    </w:tbl>
    <w:p w:rsidR="00C71C8C" w:rsidRPr="005240FE" w:rsidRDefault="00C71C8C" w:rsidP="00C71C8C">
      <w:pPr>
        <w:sectPr w:rsidR="00C71C8C" w:rsidRPr="005240FE" w:rsidSect="0049087A">
          <w:headerReference w:type="default" r:id="rId6"/>
          <w:pgSz w:w="11906" w:h="16838"/>
          <w:pgMar w:top="1417" w:right="1417" w:bottom="709" w:left="1417" w:header="708" w:footer="708" w:gutter="0"/>
          <w:pgNumType w:start="0"/>
          <w:cols w:space="708"/>
          <w:docGrid w:linePitch="360"/>
        </w:sectPr>
      </w:pPr>
    </w:p>
    <w:p w:rsidR="00C71C8C" w:rsidRDefault="00C71C8C" w:rsidP="00C71C8C">
      <w:pPr>
        <w:pStyle w:val="berschrift1"/>
      </w:pPr>
      <w:bookmarkStart w:id="0" w:name="_Toc396835257"/>
      <w:r>
        <w:lastRenderedPageBreak/>
        <w:t>Reflexion des Arbeitsblattes</w:t>
      </w:r>
      <w:bookmarkEnd w:id="0"/>
      <w:r>
        <w:t xml:space="preserve"> </w:t>
      </w:r>
    </w:p>
    <w:p w:rsidR="00C71C8C" w:rsidRPr="002724B3" w:rsidRDefault="00C71C8C" w:rsidP="00C71C8C">
      <w:r w:rsidRPr="00225A9E">
        <w:rPr>
          <w:color w:val="auto"/>
        </w:rPr>
        <w:t xml:space="preserve">In dem Arbeitsblatt geht es darum, die SuS in ihren </w:t>
      </w:r>
      <w:r>
        <w:rPr>
          <w:color w:val="auto"/>
        </w:rPr>
        <w:t xml:space="preserve">Experimentier-  und </w:t>
      </w:r>
      <w:r w:rsidRPr="00225A9E">
        <w:rPr>
          <w:color w:val="auto"/>
        </w:rPr>
        <w:t>Beobachtungsfertigke</w:t>
      </w:r>
      <w:r w:rsidRPr="00225A9E">
        <w:rPr>
          <w:color w:val="auto"/>
        </w:rPr>
        <w:t>i</w:t>
      </w:r>
      <w:r w:rsidRPr="00225A9E">
        <w:rPr>
          <w:color w:val="auto"/>
        </w:rPr>
        <w:t>ten zu schulen und zu üben, V</w:t>
      </w:r>
      <w:r>
        <w:rPr>
          <w:color w:val="auto"/>
        </w:rPr>
        <w:t xml:space="preserve">ersuchsprotokolle zu erstellen. </w:t>
      </w:r>
      <w:r w:rsidRPr="00225A9E">
        <w:rPr>
          <w:color w:val="auto"/>
        </w:rPr>
        <w:t xml:space="preserve">Fachlich sollen </w:t>
      </w:r>
      <w:r>
        <w:rPr>
          <w:color w:val="auto"/>
        </w:rPr>
        <w:t>die Vorgänge bei Verbrennungs- bzw. Sauerstoffübertragungsreaktionen bei Nichtmetallen vermittelt werden und wie das dabei entstehende Nichtmetalloxid mit Wasser reagiert.  Zudem wird durch das Arbeitsblatt ein Alltagsbezug gegeben, da die SuS sehen, dass Nichtmetalle auch in unserem al</w:t>
      </w:r>
      <w:r>
        <w:rPr>
          <w:color w:val="auto"/>
        </w:rPr>
        <w:t>l</w:t>
      </w:r>
      <w:r>
        <w:rPr>
          <w:color w:val="auto"/>
        </w:rPr>
        <w:t>täglichen Leben vorkommen.</w:t>
      </w:r>
    </w:p>
    <w:p w:rsidR="00C71C8C" w:rsidRDefault="00C71C8C" w:rsidP="00C71C8C">
      <w:pPr>
        <w:pStyle w:val="berschrift2"/>
      </w:pPr>
      <w:bookmarkStart w:id="1" w:name="_Toc396835258"/>
      <w:r>
        <w:t>Erwartungshorizont (Kerncurriculum)</w:t>
      </w:r>
      <w:bookmarkEnd w:id="1"/>
    </w:p>
    <w:p w:rsidR="00C71C8C" w:rsidRPr="007852DF" w:rsidRDefault="00C71C8C" w:rsidP="00C71C8C">
      <w:pPr>
        <w:rPr>
          <w:color w:val="auto"/>
        </w:rPr>
      </w:pPr>
      <w:r>
        <w:rPr>
          <w:color w:val="auto"/>
        </w:rPr>
        <w:t>Durch Aufgabe 1 und 2 soll erreicht werden, dass die SuS ein Experiment selbstständig planen sowie den Verlauf und die Ergebnisse in angemessener Form protokollieren, wobei sie in den Kompetenzen Erkenntnisgewinnung und Kommunikation geschult werden (Basiskonzept Stoff-Teilchen). Aufgabe 1 hat dabei Anforderungsbereich II, Aufgabe 2 Anforderungsbereich I. Bei der Deutung sollen die SuS die chemischen Sachverhalte unter Anwendung der Fachsprache erkl</w:t>
      </w:r>
      <w:r>
        <w:rPr>
          <w:color w:val="auto"/>
        </w:rPr>
        <w:t>ä</w:t>
      </w:r>
      <w:r>
        <w:rPr>
          <w:color w:val="auto"/>
        </w:rPr>
        <w:t>ren, wobei ebenfalls die Kompetenz Kommunikation verbessert wird. In der fachwissenschaftl</w:t>
      </w:r>
      <w:r>
        <w:rPr>
          <w:color w:val="auto"/>
        </w:rPr>
        <w:t>i</w:t>
      </w:r>
      <w:r>
        <w:rPr>
          <w:color w:val="auto"/>
        </w:rPr>
        <w:t xml:space="preserve">chen Kompetenz sollen die SuS den Verbrennungsprozess als chemische Reaktion bzw. </w:t>
      </w:r>
      <w:proofErr w:type="spellStart"/>
      <w:r>
        <w:rPr>
          <w:color w:val="auto"/>
        </w:rPr>
        <w:t>Sauerstoffübertragungreaktion</w:t>
      </w:r>
      <w:proofErr w:type="spellEnd"/>
      <w:r>
        <w:rPr>
          <w:color w:val="auto"/>
        </w:rPr>
        <w:t xml:space="preserve"> kennenlernen (Basiskonzept Chemische Reaktionen). Aufgabe 3 entspricht dabei Anforderungsbereich III. </w:t>
      </w:r>
    </w:p>
    <w:p w:rsidR="00C71C8C" w:rsidRDefault="00C71C8C" w:rsidP="00C71C8C">
      <w:pPr>
        <w:pStyle w:val="berschrift2"/>
      </w:pPr>
      <w:bookmarkStart w:id="2" w:name="_Toc396835259"/>
      <w:r>
        <w:t>Erwartungshorizont (Inhaltlich)</w:t>
      </w:r>
      <w:bookmarkEnd w:id="2"/>
    </w:p>
    <w:p w:rsidR="00C71C8C" w:rsidRDefault="00C71C8C" w:rsidP="00C71C8C">
      <w:r>
        <w:t>Aufgabe 1: Die SuS führen den Versuch nach Anleitung sorgfältig durch.</w:t>
      </w:r>
    </w:p>
    <w:p w:rsidR="00C71C8C" w:rsidRDefault="00C71C8C" w:rsidP="00C71C8C">
      <w:pPr>
        <w:rPr>
          <w:i/>
        </w:rPr>
      </w:pPr>
      <w:r>
        <w:t xml:space="preserve">Aufgabe 2: </w:t>
      </w:r>
      <w:r w:rsidRPr="00FD491C">
        <w:rPr>
          <w:i/>
        </w:rPr>
        <w:t xml:space="preserve">Es bildet sich ein weißer Rauch. Am Uhrglas ist eine weiße Substanz zu erkennen. Nach </w:t>
      </w:r>
      <w:proofErr w:type="spellStart"/>
      <w:r w:rsidRPr="00FD491C">
        <w:rPr>
          <w:i/>
        </w:rPr>
        <w:t>Hinzugabe</w:t>
      </w:r>
      <w:proofErr w:type="spellEnd"/>
      <w:r w:rsidRPr="00FD491C">
        <w:rPr>
          <w:i/>
        </w:rPr>
        <w:t xml:space="preserve"> des </w:t>
      </w:r>
      <w:proofErr w:type="spellStart"/>
      <w:r w:rsidRPr="00FD491C">
        <w:rPr>
          <w:i/>
        </w:rPr>
        <w:t>dest</w:t>
      </w:r>
      <w:proofErr w:type="spellEnd"/>
      <w:r w:rsidRPr="00FD491C">
        <w:rPr>
          <w:i/>
        </w:rPr>
        <w:t>. Wassers und des Indikators schlägt dieser von blau zu gelb um</w:t>
      </w:r>
      <w:r>
        <w:rPr>
          <w:i/>
        </w:rPr>
        <w:t>.</w:t>
      </w:r>
    </w:p>
    <w:p w:rsidR="00C71C8C" w:rsidRDefault="00C71C8C" w:rsidP="00C71C8C">
      <w:pPr>
        <w:tabs>
          <w:tab w:val="left" w:pos="1134"/>
        </w:tabs>
        <w:ind w:left="1134" w:hanging="1134"/>
        <w:rPr>
          <w:i/>
        </w:rPr>
      </w:pPr>
      <w:r>
        <w:t xml:space="preserve">Aufgabe 3: </w:t>
      </w:r>
      <w:r w:rsidRPr="00FD491C">
        <w:rPr>
          <w:i/>
        </w:rPr>
        <w:t>Die Reib</w:t>
      </w:r>
      <w:r w:rsidR="00D118E1">
        <w:rPr>
          <w:i/>
        </w:rPr>
        <w:t>eflächen von Streichhölzern ent</w:t>
      </w:r>
      <w:r w:rsidRPr="00FD491C">
        <w:rPr>
          <w:i/>
        </w:rPr>
        <w:t>h</w:t>
      </w:r>
      <w:r w:rsidR="00D118E1">
        <w:rPr>
          <w:i/>
        </w:rPr>
        <w:t>a</w:t>
      </w:r>
      <w:r w:rsidRPr="00FD491C">
        <w:rPr>
          <w:i/>
        </w:rPr>
        <w:t>lten roten Phosphor, welcher durch den Glimmspan entzündet wird. Es kommt zur Reaktion mit dem Sauerstoff aus der Luft, der rote Phosphor wird oxidiert und es entsteht Phosphor(V)-</w:t>
      </w:r>
      <w:proofErr w:type="spellStart"/>
      <w:r w:rsidRPr="00FD491C">
        <w:rPr>
          <w:i/>
        </w:rPr>
        <w:t>oxid</w:t>
      </w:r>
      <w:proofErr w:type="spellEnd"/>
      <w:r w:rsidRPr="00FD491C">
        <w:rPr>
          <w:i/>
        </w:rPr>
        <w:t>.</w:t>
      </w:r>
    </w:p>
    <w:p w:rsidR="00C71C8C" w:rsidRPr="00FD491C" w:rsidRDefault="00C71C8C" w:rsidP="00C71C8C">
      <w:pPr>
        <w:tabs>
          <w:tab w:val="left" w:pos="1985"/>
        </w:tabs>
        <w:ind w:left="1985" w:hanging="1985"/>
        <w:rPr>
          <w:rFonts w:eastAsiaTheme="minorEastAsia"/>
          <w:i/>
          <w:lang w:val="en-US"/>
        </w:rPr>
      </w:pPr>
      <w:r w:rsidRPr="00FD491C">
        <w:rPr>
          <w:i/>
        </w:rPr>
        <w:tab/>
      </w:r>
      <m:oMath>
        <m:r>
          <w:rPr>
            <w:rFonts w:ascii="Cambria Math" w:eastAsiaTheme="minorEastAsia" w:hAnsi="Cambria Math"/>
            <w:lang w:val="en-US"/>
          </w:rPr>
          <m:t>(</m:t>
        </m:r>
        <m:sSub>
          <m:sSubPr>
            <m:ctrlPr>
              <w:rPr>
                <w:rFonts w:ascii="Cambria Math" w:eastAsiaTheme="minorEastAsia" w:hAnsi="Cambria Math"/>
                <w:i/>
              </w:rPr>
            </m:ctrlPr>
          </m:sSubPr>
          <m:e>
            <m:r>
              <w:rPr>
                <w:rFonts w:ascii="Cambria Math" w:eastAsiaTheme="minorEastAsia" w:hAnsi="Cambria Math"/>
                <w:lang w:val="en-US"/>
              </w:rPr>
              <m:t>P</m:t>
            </m:r>
          </m:e>
          <m:sub>
            <m:r>
              <w:rPr>
                <w:rFonts w:ascii="Cambria Math" w:eastAsiaTheme="minorEastAsia" w:hAnsi="Cambria Math"/>
                <w:lang w:val="en-US"/>
              </w:rPr>
              <m:t>4 (s)</m:t>
            </m:r>
          </m:sub>
        </m:sSub>
        <m:r>
          <w:rPr>
            <w:rFonts w:ascii="Cambria Math" w:eastAsiaTheme="minorEastAsia" w:hAnsi="Cambria Math"/>
            <w:lang w:val="en-US"/>
          </w:rPr>
          <m:t>+5</m:t>
        </m:r>
        <m:sSub>
          <m:sSubPr>
            <m:ctrlPr>
              <w:rPr>
                <w:rFonts w:ascii="Cambria Math" w:eastAsiaTheme="minorEastAsia" w:hAnsi="Cambria Math"/>
                <w:i/>
              </w:rPr>
            </m:ctrlPr>
          </m:sSubPr>
          <m:e>
            <m:r>
              <w:rPr>
                <w:rFonts w:ascii="Cambria Math" w:eastAsiaTheme="minorEastAsia" w:hAnsi="Cambria Math"/>
                <w:lang w:val="en-US"/>
              </w:rPr>
              <m:t>O</m:t>
            </m:r>
          </m:e>
          <m:sub>
            <m:r>
              <w:rPr>
                <w:rFonts w:ascii="Cambria Math" w:eastAsiaTheme="minorEastAsia" w:hAnsi="Cambria Math"/>
                <w:lang w:val="en-US"/>
              </w:rPr>
              <m:t>2 (g)</m:t>
            </m:r>
          </m:sub>
        </m:sSub>
        <m:r>
          <w:rPr>
            <w:rFonts w:ascii="Cambria Math" w:eastAsiaTheme="minorEastAsia" w:hAnsi="Cambria Math"/>
            <w:lang w:val="en-US"/>
          </w:rPr>
          <m:t>→</m:t>
        </m:r>
        <m:sSub>
          <m:sSubPr>
            <m:ctrlPr>
              <w:rPr>
                <w:rFonts w:ascii="Cambria Math" w:eastAsiaTheme="minorEastAsia" w:hAnsi="Cambria Math"/>
                <w:i/>
              </w:rPr>
            </m:ctrlPr>
          </m:sSubPr>
          <m:e>
            <m:r>
              <w:rPr>
                <w:rFonts w:ascii="Cambria Math" w:eastAsiaTheme="minorEastAsia" w:hAnsi="Cambria Math"/>
                <w:lang w:val="en-US"/>
              </w:rPr>
              <m:t>P</m:t>
            </m:r>
          </m:e>
          <m:sub>
            <m:r>
              <w:rPr>
                <w:rFonts w:ascii="Cambria Math" w:eastAsiaTheme="minorEastAsia" w:hAnsi="Cambria Math"/>
                <w:lang w:val="en-US"/>
              </w:rPr>
              <m:t>4</m:t>
            </m:r>
          </m:sub>
        </m:sSub>
        <m:sSub>
          <m:sSubPr>
            <m:ctrlPr>
              <w:rPr>
                <w:rFonts w:ascii="Cambria Math" w:eastAsiaTheme="minorEastAsia" w:hAnsi="Cambria Math"/>
                <w:i/>
              </w:rPr>
            </m:ctrlPr>
          </m:sSubPr>
          <m:e>
            <m:r>
              <w:rPr>
                <w:rFonts w:ascii="Cambria Math" w:eastAsiaTheme="minorEastAsia" w:hAnsi="Cambria Math"/>
                <w:lang w:val="en-US"/>
              </w:rPr>
              <m:t>O</m:t>
            </m:r>
          </m:e>
          <m:sub>
            <m:r>
              <w:rPr>
                <w:rFonts w:ascii="Cambria Math" w:eastAsiaTheme="minorEastAsia" w:hAnsi="Cambria Math"/>
                <w:lang w:val="en-US"/>
              </w:rPr>
              <m:t>10 (s)</m:t>
            </m:r>
          </m:sub>
        </m:sSub>
      </m:oMath>
      <w:r w:rsidRPr="00FD491C">
        <w:rPr>
          <w:rFonts w:eastAsiaTheme="minorEastAsia"/>
          <w:i/>
          <w:lang w:val="en-US"/>
        </w:rPr>
        <w:t xml:space="preserve">      (</w:t>
      </w:r>
      <w:proofErr w:type="gramStart"/>
      <w:r w:rsidRPr="00FD491C">
        <w:rPr>
          <w:rFonts w:eastAsiaTheme="minorEastAsia"/>
          <w:i/>
          <w:lang w:val="en-US"/>
        </w:rPr>
        <w:t>exotherm</w:t>
      </w:r>
      <w:proofErr w:type="gramEnd"/>
      <w:r w:rsidRPr="00FD491C">
        <w:rPr>
          <w:rFonts w:eastAsiaTheme="minorEastAsia"/>
          <w:i/>
          <w:lang w:val="en-US"/>
        </w:rPr>
        <w:t>))</w:t>
      </w:r>
    </w:p>
    <w:p w:rsidR="00C71C8C" w:rsidRPr="00FD491C" w:rsidRDefault="00C71C8C" w:rsidP="00C71C8C">
      <w:pPr>
        <w:tabs>
          <w:tab w:val="left" w:pos="1701"/>
        </w:tabs>
        <w:rPr>
          <w:rFonts w:eastAsiaTheme="minorEastAsia"/>
          <w:i/>
        </w:rPr>
      </w:pPr>
      <w:r w:rsidRPr="00FD491C">
        <w:rPr>
          <w:rFonts w:eastAsiaTheme="minorEastAsia"/>
          <w:i/>
        </w:rPr>
        <w:t xml:space="preserve">Durch </w:t>
      </w:r>
      <w:proofErr w:type="spellStart"/>
      <w:r w:rsidRPr="00FD491C">
        <w:rPr>
          <w:rFonts w:eastAsiaTheme="minorEastAsia"/>
          <w:i/>
        </w:rPr>
        <w:t>Hinzugabe</w:t>
      </w:r>
      <w:proofErr w:type="spellEnd"/>
      <w:r w:rsidRPr="00FD491C">
        <w:rPr>
          <w:rFonts w:eastAsiaTheme="minorEastAsia"/>
          <w:i/>
        </w:rPr>
        <w:t xml:space="preserve"> von Wasser reagiert </w:t>
      </w:r>
      <w:r w:rsidRPr="00FD491C">
        <w:rPr>
          <w:i/>
        </w:rPr>
        <w:t>Phosphor(V)-</w:t>
      </w:r>
      <w:proofErr w:type="spellStart"/>
      <w:r w:rsidRPr="00FD491C">
        <w:rPr>
          <w:i/>
        </w:rPr>
        <w:t>oxid</w:t>
      </w:r>
      <w:proofErr w:type="spellEnd"/>
      <w:r w:rsidRPr="00FD491C">
        <w:rPr>
          <w:i/>
        </w:rPr>
        <w:t xml:space="preserve"> zu Phosphorsäure:</w:t>
      </w:r>
    </w:p>
    <w:p w:rsidR="00C71C8C" w:rsidRPr="00FD491C" w:rsidRDefault="00C71C8C" w:rsidP="00C71C8C">
      <w:pPr>
        <w:tabs>
          <w:tab w:val="left" w:pos="1701"/>
        </w:tabs>
        <w:rPr>
          <w:rFonts w:eastAsiaTheme="minorEastAsia"/>
          <w:i/>
        </w:rPr>
      </w:pPr>
      <m:oMathPara>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4</m:t>
              </m:r>
            </m:sub>
          </m:sSub>
          <m:sSub>
            <m:sSubPr>
              <m:ctrlPr>
                <w:rPr>
                  <w:rFonts w:ascii="Cambria Math" w:eastAsiaTheme="minorEastAsia" w:hAnsi="Cambria Math"/>
                  <w:i/>
                </w:rPr>
              </m:ctrlPr>
            </m:sSubPr>
            <m:e>
              <m:r>
                <w:rPr>
                  <w:rFonts w:ascii="Cambria Math" w:eastAsiaTheme="minorEastAsia" w:hAnsi="Cambria Math"/>
                </w:rPr>
                <m:t>O</m:t>
              </m:r>
            </m:e>
            <m:sub>
              <m:r>
                <w:rPr>
                  <w:rFonts w:ascii="Cambria Math" w:eastAsiaTheme="minorEastAsia" w:hAnsi="Cambria Math"/>
                </w:rPr>
                <m:t>10 (s)</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6H</m:t>
              </m:r>
            </m:e>
            <m:sub>
              <m:r>
                <w:rPr>
                  <w:rFonts w:ascii="Cambria Math" w:eastAsiaTheme="minorEastAsia" w:hAnsi="Cambria Math"/>
                </w:rPr>
                <m:t>2</m:t>
              </m:r>
            </m:sub>
          </m:sSub>
          <m:sSub>
            <m:sSubPr>
              <m:ctrlPr>
                <w:rPr>
                  <w:rFonts w:ascii="Cambria Math" w:eastAsiaTheme="minorEastAsia" w:hAnsi="Cambria Math"/>
                  <w:i/>
                </w:rPr>
              </m:ctrlPr>
            </m:sSubPr>
            <m:e>
              <m:r>
                <w:rPr>
                  <w:rFonts w:ascii="Cambria Math" w:eastAsiaTheme="minorEastAsia" w:hAnsi="Cambria Math"/>
                </w:rPr>
                <m:t>O</m:t>
              </m:r>
            </m:e>
            <m:sub>
              <m:r>
                <w:rPr>
                  <w:rFonts w:ascii="Cambria Math" w:eastAsiaTheme="minorEastAsia" w:hAnsi="Cambria Math"/>
                </w:rPr>
                <m:t>(l)</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4H</m:t>
              </m:r>
            </m:e>
            <m:sub>
              <m:r>
                <w:rPr>
                  <w:rFonts w:ascii="Cambria Math" w:eastAsiaTheme="minorEastAsia" w:hAnsi="Cambria Math"/>
                </w:rPr>
                <m:t>3</m:t>
              </m:r>
            </m:sub>
          </m:sSub>
          <m:sSub>
            <m:sSubPr>
              <m:ctrlPr>
                <w:rPr>
                  <w:rFonts w:ascii="Cambria Math" w:eastAsiaTheme="minorEastAsia" w:hAnsi="Cambria Math"/>
                  <w:i/>
                </w:rPr>
              </m:ctrlPr>
            </m:sSubPr>
            <m:e>
              <m:r>
                <w:rPr>
                  <w:rFonts w:ascii="Cambria Math" w:eastAsiaTheme="minorEastAsia" w:hAnsi="Cambria Math"/>
                </w:rPr>
                <m:t>PO</m:t>
              </m:r>
            </m:e>
            <m:sub>
              <m:r>
                <w:rPr>
                  <w:rFonts w:ascii="Cambria Math" w:eastAsiaTheme="minorEastAsia" w:hAnsi="Cambria Math"/>
                </w:rPr>
                <m:t>4 (l)</m:t>
              </m:r>
            </m:sub>
          </m:sSub>
          <m:r>
            <w:rPr>
              <w:rFonts w:ascii="Cambria Math" w:eastAsiaTheme="minorEastAsia" w:hAnsi="Cambria Math"/>
            </w:rPr>
            <m:t>)</m:t>
          </m:r>
        </m:oMath>
      </m:oMathPara>
    </w:p>
    <w:p w:rsidR="00C71C8C" w:rsidRPr="00FD491C" w:rsidRDefault="00C71C8C" w:rsidP="00C71C8C">
      <w:pPr>
        <w:tabs>
          <w:tab w:val="left" w:pos="1701"/>
        </w:tabs>
        <w:rPr>
          <w:rFonts w:eastAsiaTheme="minorEastAsia"/>
          <w:i/>
        </w:rPr>
      </w:pPr>
      <w:r w:rsidRPr="00FD491C">
        <w:rPr>
          <w:rFonts w:eastAsiaTheme="minorEastAsia"/>
          <w:i/>
        </w:rPr>
        <w:t>Die Phosphorsäure bewirkt den Farbumschlag des Indikators von blau (pH 8) nach gelb (pH 3-7). Die Phosphorsäure ist schwach konzentriert.</w:t>
      </w:r>
    </w:p>
    <w:p w:rsidR="00F73CC3" w:rsidRDefault="00F73CC3"/>
    <w:sectPr w:rsidR="00F73CC3" w:rsidSect="00F73CC3">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0"/>
        <w:szCs w:val="20"/>
      </w:rPr>
      <w:id w:val="32404297"/>
      <w:docPartObj>
        <w:docPartGallery w:val="Page Numbers (Top of Page)"/>
        <w:docPartUnique/>
      </w:docPartObj>
    </w:sdtPr>
    <w:sdtEndPr/>
    <w:sdtContent>
      <w:p w:rsidR="00762583" w:rsidRPr="00337B69" w:rsidRDefault="00FD0663" w:rsidP="00337B69">
        <w:pPr>
          <w:pStyle w:val="Kopfzeile"/>
          <w:tabs>
            <w:tab w:val="left" w:pos="0"/>
            <w:tab w:val="left" w:pos="284"/>
          </w:tabs>
          <w:jc w:val="right"/>
          <w:rPr>
            <w:rFonts w:asciiTheme="majorHAnsi" w:hAnsiTheme="majorHAnsi"/>
            <w:sz w:val="20"/>
            <w:szCs w:val="20"/>
          </w:rPr>
        </w:pP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54663A"/>
    <w:multiLevelType w:val="hybridMultilevel"/>
    <w:tmpl w:val="E23838C6"/>
    <w:lvl w:ilvl="0" w:tplc="DAD4751A">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C71C8C"/>
    <w:rsid w:val="00C71C8C"/>
    <w:rsid w:val="00D118E1"/>
    <w:rsid w:val="00F73CC3"/>
    <w:rsid w:val="00FD0663"/>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71C8C"/>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C71C8C"/>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C71C8C"/>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C71C8C"/>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C71C8C"/>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C71C8C"/>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C71C8C"/>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C71C8C"/>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C71C8C"/>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C71C8C"/>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71C8C"/>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C71C8C"/>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C71C8C"/>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C71C8C"/>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C71C8C"/>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C71C8C"/>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C71C8C"/>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C71C8C"/>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C71C8C"/>
    <w:rPr>
      <w:rFonts w:asciiTheme="majorHAnsi" w:eastAsiaTheme="majorEastAsia" w:hAnsiTheme="majorHAnsi" w:cstheme="majorBidi"/>
      <w:i/>
      <w:iCs/>
      <w:color w:val="404040" w:themeColor="text1" w:themeTint="BF"/>
      <w:sz w:val="20"/>
      <w:szCs w:val="20"/>
    </w:rPr>
  </w:style>
  <w:style w:type="paragraph" w:styleId="Listenabsatz">
    <w:name w:val="List Paragraph"/>
    <w:basedOn w:val="Standard"/>
    <w:uiPriority w:val="34"/>
    <w:qFormat/>
    <w:rsid w:val="00C71C8C"/>
    <w:pPr>
      <w:spacing w:line="276" w:lineRule="auto"/>
      <w:ind w:left="720"/>
      <w:contextualSpacing/>
    </w:pPr>
    <w:rPr>
      <w:rFonts w:asciiTheme="minorHAnsi" w:hAnsiTheme="minorHAnsi"/>
      <w:color w:val="000000"/>
    </w:rPr>
  </w:style>
  <w:style w:type="paragraph" w:styleId="Kopfzeile">
    <w:name w:val="header"/>
    <w:basedOn w:val="Standard"/>
    <w:link w:val="KopfzeileZchn"/>
    <w:uiPriority w:val="99"/>
    <w:unhideWhenUsed/>
    <w:rsid w:val="00C71C8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71C8C"/>
    <w:rPr>
      <w:rFonts w:ascii="Cambria" w:hAnsi="Cambria"/>
      <w:color w:val="1D1B11" w:themeColor="background2" w:themeShade="1A"/>
    </w:rPr>
  </w:style>
  <w:style w:type="table" w:styleId="Tabellengitternetz">
    <w:name w:val="Table Grid"/>
    <w:basedOn w:val="NormaleTabelle"/>
    <w:uiPriority w:val="59"/>
    <w:rsid w:val="00C71C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chn"/>
    <w:uiPriority w:val="99"/>
    <w:semiHidden/>
    <w:unhideWhenUsed/>
    <w:rsid w:val="00C71C8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71C8C"/>
    <w:rPr>
      <w:rFonts w:ascii="Tahoma" w:hAnsi="Tahoma" w:cs="Tahoma"/>
      <w:color w:val="1D1B11" w:themeColor="background2" w:themeShade="1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388</Words>
  <Characters>2450</Characters>
  <Application>Microsoft Office Word</Application>
  <DocSecurity>0</DocSecurity>
  <Lines>20</Lines>
  <Paragraphs>5</Paragraphs>
  <ScaleCrop>false</ScaleCrop>
  <Company/>
  <LinksUpToDate>false</LinksUpToDate>
  <CharactersWithSpaces>2833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dc:creator>
  <cp:lastModifiedBy>Isa</cp:lastModifiedBy>
  <cp:revision>2</cp:revision>
  <cp:lastPrinted>2014-08-26T14:56:00Z</cp:lastPrinted>
  <dcterms:created xsi:type="dcterms:W3CDTF">2014-08-26T14:55:00Z</dcterms:created>
  <dcterms:modified xsi:type="dcterms:W3CDTF">2014-08-26T14:56:00Z</dcterms:modified>
</cp:coreProperties>
</file>