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287" w:rsidRDefault="00542287" w:rsidP="00542287">
      <w:pPr>
        <w:pStyle w:val="berschrift1"/>
      </w:pPr>
      <w:bookmarkStart w:id="0" w:name="_Toc427831599"/>
      <w:r>
        <w:t>Lehrerversuch – Ethanol in Wasser mit Modellversuch</w:t>
      </w:r>
      <w:bookmarkEnd w:id="0"/>
    </w:p>
    <w:p w:rsidR="00542287" w:rsidRDefault="00542287" w:rsidP="00542287">
      <w:pPr>
        <w:pStyle w:val="berschrift2"/>
      </w:pPr>
      <w:bookmarkStart w:id="1" w:name="_Toc427831600"/>
      <w:r>
        <w:t>Demonstrationsversuch mit Chemikalien</w:t>
      </w:r>
      <w:bookmarkStart w:id="2" w:name="_Toc425776595"/>
      <w:bookmarkEnd w:id="1"/>
      <w:bookmarkEnd w:id="2"/>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542287" w:rsidRPr="009C5E28" w:rsidTr="00DF1A2D">
        <w:tc>
          <w:tcPr>
            <w:tcW w:w="9322" w:type="dxa"/>
            <w:gridSpan w:val="9"/>
            <w:shd w:val="clear" w:color="auto" w:fill="4F81BD"/>
            <w:vAlign w:val="center"/>
          </w:tcPr>
          <w:p w:rsidR="00542287" w:rsidRPr="00F31EBF" w:rsidRDefault="00542287" w:rsidP="00DF1A2D">
            <w:pPr>
              <w:spacing w:after="0"/>
              <w:jc w:val="center"/>
              <w:rPr>
                <w:b/>
                <w:bCs/>
                <w:color w:val="FFFFFF" w:themeColor="background1"/>
              </w:rPr>
            </w:pPr>
            <w:r w:rsidRPr="00F31EBF">
              <w:rPr>
                <w:b/>
                <w:bCs/>
                <w:color w:val="FFFFFF" w:themeColor="background1"/>
              </w:rPr>
              <w:t>Gefahrenstoffe</w:t>
            </w:r>
          </w:p>
        </w:tc>
      </w:tr>
      <w:tr w:rsidR="00542287" w:rsidRPr="009C5E28" w:rsidTr="00DF1A2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542287" w:rsidRPr="009C5E28" w:rsidRDefault="00542287" w:rsidP="00DF1A2D">
            <w:pPr>
              <w:spacing w:after="0" w:line="276" w:lineRule="auto"/>
              <w:jc w:val="center"/>
              <w:rPr>
                <w:b/>
                <w:bCs/>
              </w:rPr>
            </w:pPr>
            <w:r>
              <w:rPr>
                <w:sz w:val="20"/>
              </w:rPr>
              <w:t>Ethanol</w:t>
            </w:r>
          </w:p>
        </w:tc>
        <w:tc>
          <w:tcPr>
            <w:tcW w:w="3177" w:type="dxa"/>
            <w:gridSpan w:val="3"/>
            <w:tcBorders>
              <w:top w:val="single" w:sz="8" w:space="0" w:color="4F81BD"/>
              <w:bottom w:val="single" w:sz="8" w:space="0" w:color="4F81BD"/>
            </w:tcBorders>
            <w:shd w:val="clear" w:color="auto" w:fill="auto"/>
            <w:vAlign w:val="center"/>
          </w:tcPr>
          <w:p w:rsidR="00542287" w:rsidRPr="009C5E28" w:rsidRDefault="00542287" w:rsidP="00DF1A2D">
            <w:pPr>
              <w:spacing w:after="0"/>
              <w:jc w:val="center"/>
            </w:pPr>
            <w:r w:rsidRPr="009C5E28">
              <w:rPr>
                <w:sz w:val="20"/>
              </w:rPr>
              <w:t xml:space="preserve">H: </w:t>
            </w:r>
            <w:r w:rsidRPr="005317E3">
              <w:rPr>
                <w:rStyle w:val="Hyperlink"/>
                <w:color w:val="auto"/>
                <w:sz w:val="20"/>
              </w:rPr>
              <w:t>225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42287" w:rsidRPr="009C5E28" w:rsidRDefault="00542287" w:rsidP="00DF1A2D">
            <w:pPr>
              <w:spacing w:after="0"/>
              <w:jc w:val="center"/>
            </w:pPr>
            <w:r w:rsidRPr="009C5E28">
              <w:rPr>
                <w:sz w:val="20"/>
              </w:rPr>
              <w:t xml:space="preserve">P: </w:t>
            </w:r>
            <w:r w:rsidRPr="00D04836">
              <w:rPr>
                <w:sz w:val="20"/>
              </w:rPr>
              <w:t>210</w:t>
            </w:r>
          </w:p>
        </w:tc>
      </w:tr>
      <w:tr w:rsidR="00542287" w:rsidRPr="009C5E28" w:rsidTr="00DF1A2D">
        <w:tc>
          <w:tcPr>
            <w:tcW w:w="1009" w:type="dxa"/>
            <w:tcBorders>
              <w:top w:val="single" w:sz="8" w:space="0" w:color="4F81BD"/>
              <w:left w:val="single" w:sz="8" w:space="0" w:color="4F81BD"/>
              <w:bottom w:val="single" w:sz="8" w:space="0" w:color="4F81BD"/>
            </w:tcBorders>
            <w:shd w:val="clear" w:color="auto" w:fill="auto"/>
            <w:vAlign w:val="center"/>
          </w:tcPr>
          <w:p w:rsidR="00542287" w:rsidRPr="009C5E28" w:rsidRDefault="00542287" w:rsidP="00DF1A2D">
            <w:pPr>
              <w:spacing w:after="0"/>
              <w:jc w:val="center"/>
              <w:rPr>
                <w:b/>
                <w:bCs/>
              </w:rPr>
            </w:pPr>
            <w:r>
              <w:rPr>
                <w:b/>
                <w:bCs/>
                <w:noProof/>
                <w:lang w:eastAsia="de-DE"/>
              </w:rPr>
              <w:drawing>
                <wp:inline distT="0" distB="0" distL="0" distR="0">
                  <wp:extent cx="503555" cy="503555"/>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Ätzend.png"/>
                          <pic:cNvPicPr/>
                        </pic:nvPicPr>
                        <pic:blipFill>
                          <a:blip r:embed="rId5"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542287" w:rsidRPr="009C5E28" w:rsidRDefault="00542287" w:rsidP="00DF1A2D">
            <w:pPr>
              <w:spacing w:after="0"/>
              <w:jc w:val="center"/>
            </w:pPr>
            <w:r>
              <w:rPr>
                <w:noProof/>
                <w:lang w:eastAsia="de-DE"/>
              </w:rPr>
              <w:drawing>
                <wp:inline distT="0" distB="0" distL="0" distR="0">
                  <wp:extent cx="504190" cy="50419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42287" w:rsidRPr="009C5E28" w:rsidRDefault="00542287" w:rsidP="00DF1A2D">
            <w:pPr>
              <w:spacing w:after="0"/>
              <w:jc w:val="center"/>
            </w:pPr>
            <w:r>
              <w:rPr>
                <w:noProof/>
                <w:lang w:eastAsia="de-DE"/>
              </w:rPr>
              <w:drawing>
                <wp:inline distT="0" distB="0" distL="0" distR="0">
                  <wp:extent cx="503555" cy="503555"/>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Brennbar.png"/>
                          <pic:cNvPicPr/>
                        </pic:nvPicPr>
                        <pic:blipFill>
                          <a:blip r:embed="rId7"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542287" w:rsidRPr="009C5E28" w:rsidRDefault="00542287" w:rsidP="00DF1A2D">
            <w:pPr>
              <w:spacing w:after="0"/>
              <w:jc w:val="center"/>
            </w:pPr>
            <w:r>
              <w:rPr>
                <w:noProof/>
                <w:lang w:eastAsia="de-DE"/>
              </w:rPr>
              <w:drawing>
                <wp:inline distT="0" distB="0" distL="0" distR="0">
                  <wp:extent cx="504190" cy="50419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542287" w:rsidRPr="009C5E28" w:rsidRDefault="00542287" w:rsidP="00DF1A2D">
            <w:pPr>
              <w:spacing w:after="0"/>
              <w:jc w:val="center"/>
            </w:pPr>
            <w:r>
              <w:rPr>
                <w:noProof/>
                <w:lang w:eastAsia="de-DE"/>
              </w:rPr>
              <w:drawing>
                <wp:inline distT="0" distB="0" distL="0" distR="0">
                  <wp:extent cx="504190" cy="50419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542287" w:rsidRPr="009C5E28" w:rsidRDefault="00542287" w:rsidP="00DF1A2D">
            <w:pPr>
              <w:spacing w:after="0"/>
              <w:jc w:val="center"/>
            </w:pPr>
            <w:r>
              <w:rPr>
                <w:noProof/>
                <w:lang w:eastAsia="de-DE"/>
              </w:rPr>
              <w:drawing>
                <wp:inline distT="0" distB="0" distL="0" distR="0">
                  <wp:extent cx="504190" cy="50419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542287" w:rsidRPr="009C5E28" w:rsidRDefault="00542287" w:rsidP="00DF1A2D">
            <w:pPr>
              <w:spacing w:after="0"/>
              <w:jc w:val="center"/>
            </w:pPr>
            <w:r>
              <w:rPr>
                <w:noProof/>
                <w:lang w:eastAsia="de-DE"/>
              </w:rPr>
              <w:drawing>
                <wp:inline distT="0" distB="0" distL="0" distR="0">
                  <wp:extent cx="504190" cy="50419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42287" w:rsidRPr="009C5E28" w:rsidRDefault="00542287" w:rsidP="00DF1A2D">
            <w:pPr>
              <w:spacing w:after="0"/>
              <w:jc w:val="center"/>
            </w:pPr>
            <w:r>
              <w:rPr>
                <w:noProof/>
                <w:lang w:eastAsia="de-DE"/>
              </w:rPr>
              <w:drawing>
                <wp:inline distT="0" distB="0" distL="0" distR="0">
                  <wp:extent cx="503555" cy="503555"/>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eizend.png"/>
                          <pic:cNvPicPr/>
                        </pic:nvPicPr>
                        <pic:blipFill>
                          <a:blip r:embed="rId12"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03555" cy="503555"/>
                          </a:xfrm>
                          <a:prstGeom prst="rect">
                            <a:avLst/>
                          </a:prstGeom>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542287" w:rsidRPr="009C5E28" w:rsidRDefault="00542287" w:rsidP="00DF1A2D">
            <w:pPr>
              <w:spacing w:after="0"/>
              <w:jc w:val="center"/>
            </w:pPr>
            <w:r>
              <w:rPr>
                <w:noProof/>
                <w:lang w:eastAsia="de-DE"/>
              </w:rPr>
              <w:drawing>
                <wp:inline distT="0" distB="0" distL="0" distR="0">
                  <wp:extent cx="504190" cy="50419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542287" w:rsidRDefault="00542287" w:rsidP="00542287">
      <w:pPr>
        <w:tabs>
          <w:tab w:val="left" w:pos="1701"/>
          <w:tab w:val="left" w:pos="1985"/>
        </w:tabs>
        <w:ind w:left="1980" w:hanging="1980"/>
      </w:pPr>
    </w:p>
    <w:p w:rsidR="00542287" w:rsidRDefault="00542287" w:rsidP="00542287">
      <w:pPr>
        <w:tabs>
          <w:tab w:val="left" w:pos="1701"/>
          <w:tab w:val="left" w:pos="1985"/>
        </w:tabs>
        <w:ind w:left="1980" w:hanging="1980"/>
      </w:pPr>
      <w:r>
        <w:t xml:space="preserve">Materialien: </w:t>
      </w:r>
      <w:r>
        <w:tab/>
      </w:r>
      <w:r>
        <w:tab/>
        <w:t xml:space="preserve">2 Messzylinder mit 100 </w:t>
      </w:r>
      <w:proofErr w:type="spellStart"/>
      <w:r>
        <w:t>mL</w:t>
      </w:r>
      <w:proofErr w:type="spellEnd"/>
      <w:r>
        <w:t xml:space="preserve"> Fassungsvolumen</w:t>
      </w:r>
    </w:p>
    <w:p w:rsidR="00542287" w:rsidRPr="00ED07C2" w:rsidRDefault="00542287" w:rsidP="00542287">
      <w:pPr>
        <w:tabs>
          <w:tab w:val="left" w:pos="1701"/>
          <w:tab w:val="left" w:pos="1985"/>
        </w:tabs>
        <w:ind w:left="1980" w:hanging="1980"/>
      </w:pPr>
      <w:r>
        <w:t>Chemikalien:</w:t>
      </w:r>
      <w:r>
        <w:tab/>
      </w:r>
      <w:r>
        <w:tab/>
        <w:t>Wasser, Ethanol</w:t>
      </w:r>
    </w:p>
    <w:p w:rsidR="00542287" w:rsidRDefault="00542287" w:rsidP="00542287">
      <w:pPr>
        <w:tabs>
          <w:tab w:val="left" w:pos="1701"/>
          <w:tab w:val="left" w:pos="1985"/>
        </w:tabs>
        <w:ind w:left="1980" w:hanging="1980"/>
      </w:pPr>
      <w:r>
        <w:t xml:space="preserve">Durchführung: </w:t>
      </w:r>
      <w:r>
        <w:tab/>
      </w:r>
      <w:r>
        <w:tab/>
      </w:r>
      <w:r>
        <w:tab/>
        <w:t xml:space="preserve">50 </w:t>
      </w:r>
      <w:proofErr w:type="spellStart"/>
      <w:r>
        <w:t>mL</w:t>
      </w:r>
      <w:proofErr w:type="spellEnd"/>
      <w:r>
        <w:t xml:space="preserve"> Wasser werden mit 50 </w:t>
      </w:r>
      <w:proofErr w:type="spellStart"/>
      <w:r>
        <w:t>mL</w:t>
      </w:r>
      <w:proofErr w:type="spellEnd"/>
      <w:r>
        <w:t xml:space="preserve"> Ethanol zusammengegeben und das G</w:t>
      </w:r>
      <w:r>
        <w:t>e</w:t>
      </w:r>
      <w:r>
        <w:t xml:space="preserve">samtvolumen gemessen.  </w:t>
      </w:r>
    </w:p>
    <w:p w:rsidR="00542287" w:rsidRDefault="00542287" w:rsidP="00542287">
      <w:pPr>
        <w:tabs>
          <w:tab w:val="left" w:pos="1701"/>
          <w:tab w:val="left" w:pos="1985"/>
        </w:tabs>
        <w:ind w:left="1980" w:hanging="1980"/>
      </w:pPr>
      <w:r>
        <w:t>Beobachtung:</w:t>
      </w:r>
      <w:r>
        <w:tab/>
      </w:r>
      <w:r>
        <w:tab/>
        <w:t xml:space="preserve">Das Gesamtvolumen beträgt 97 </w:t>
      </w:r>
      <w:proofErr w:type="spellStart"/>
      <w:r>
        <w:t>mL</w:t>
      </w:r>
      <w:proofErr w:type="spellEnd"/>
    </w:p>
    <w:p w:rsidR="00542287" w:rsidRDefault="00542287" w:rsidP="00542287">
      <w:pPr>
        <w:tabs>
          <w:tab w:val="left" w:pos="1701"/>
          <w:tab w:val="left" w:pos="1985"/>
        </w:tabs>
        <w:ind w:left="2124" w:hanging="2124"/>
        <w:rPr>
          <w:rFonts w:eastAsiaTheme="minorEastAsia"/>
        </w:rPr>
      </w:pPr>
      <w:r>
        <w:t>Deutung:</w:t>
      </w:r>
      <w:r>
        <w:tab/>
      </w:r>
      <w:r>
        <w:tab/>
      </w:r>
      <w:r>
        <w:tab/>
        <w:t>Die Flüssigkeiten müssen aus kleinen Teilchen bestehen, die sind in Fre</w:t>
      </w:r>
      <w:r>
        <w:t>i</w:t>
      </w:r>
      <w:r>
        <w:t xml:space="preserve">räume bewegen können. </w:t>
      </w:r>
    </w:p>
    <w:p w:rsidR="00542287" w:rsidRDefault="00542287" w:rsidP="00542287">
      <w:pPr>
        <w:spacing w:line="276" w:lineRule="auto"/>
        <w:jc w:val="left"/>
      </w:pPr>
      <w:r>
        <w:t>Entsorgung:</w:t>
      </w:r>
      <w:r>
        <w:tab/>
        <w:t xml:space="preserve">           </w:t>
      </w:r>
      <w:r>
        <w:tab/>
        <w:t xml:space="preserve">Die Entsorgung erfolgt im Ausguss.  </w:t>
      </w:r>
    </w:p>
    <w:p w:rsidR="00542287" w:rsidRDefault="00542287" w:rsidP="00542287">
      <w:pPr>
        <w:tabs>
          <w:tab w:val="left" w:pos="1701"/>
          <w:tab w:val="left" w:pos="1985"/>
        </w:tabs>
        <w:ind w:left="1980" w:hanging="1980"/>
      </w:pPr>
      <w:r>
        <w:rPr>
          <w:noProof/>
          <w:lang w:eastAsia="de-DE"/>
        </w:rPr>
        <w:lastRenderedPageBreak/>
        <w:pict>
          <v:shapetype id="_x0000_t202" coordsize="21600,21600" o:spt="202" path="m,l,21600r21600,l21600,xe">
            <v:stroke joinstyle="miter"/>
            <v:path gradientshapeok="t" o:connecttype="rect"/>
          </v:shapetype>
          <v:shape id="Text Box 133" o:spid="_x0000_s1028" type="#_x0000_t202" style="position:absolute;left:0;text-align:left;margin-left:100pt;margin-top:380.2pt;width:259.2pt;height:2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" stroked="f">
            <v:textbox style="mso-fit-shape-to-text:t" inset="0,0,0,0">
              <w:txbxContent>
                <w:p w:rsidR="00542287" w:rsidRPr="008A3CC9" w:rsidRDefault="00542287" w:rsidP="00542287">
                  <w:pPr>
                    <w:pStyle w:val="Beschriftung"/>
                    <w:rPr>
                      <w:noProof/>
                      <w:color w:val="1D1B11" w:themeColor="background2" w:themeShade="1A"/>
                    </w:rPr>
                  </w:pPr>
                  <w:r>
                    <w:t xml:space="preserve">Abbildung </w:t>
                  </w:r>
                  <w:fldSimple w:instr=" SEQ Abbildung \* ARABIC ">
                    <w:r>
                      <w:rPr>
                        <w:noProof/>
                      </w:rPr>
                      <w:t>1</w:t>
                    </w:r>
                  </w:fldSimple>
                  <w:r>
                    <w:t xml:space="preserve">: </w:t>
                  </w:r>
                  <w:proofErr w:type="spellStart"/>
                  <w:r>
                    <w:t>Dekokugeln</w:t>
                  </w:r>
                  <w:proofErr w:type="spellEnd"/>
                  <w:r>
                    <w:t xml:space="preserve"> zur Einführung des </w:t>
                  </w:r>
                  <w:proofErr w:type="spellStart"/>
                  <w:r>
                    <w:t>Dalton</w:t>
                  </w:r>
                  <w:proofErr w:type="spellEnd"/>
                  <w:r>
                    <w:noBreakHyphen/>
                    <w:t xml:space="preserve">Atommodells. </w:t>
                  </w:r>
                </w:p>
              </w:txbxContent>
            </v:textbox>
            <w10:wrap type="topAndBottom"/>
          </v:shape>
        </w:pict>
      </w:r>
      <w:r w:rsidRPr="00F6483D">
        <w:rPr>
          <w:noProof/>
          <w:lang w:eastAsia="de-DE"/>
        </w:rPr>
        <w:drawing>
          <wp:anchor distT="0" distB="0" distL="114300" distR="114300" simplePos="0" relativeHeight="251660288" behindDoc="0" locked="0" layoutInCell="1" allowOverlap="1">
            <wp:simplePos x="0" y="0"/>
            <wp:positionH relativeFrom="column">
              <wp:posOffset>1890395</wp:posOffset>
            </wp:positionH>
            <wp:positionV relativeFrom="paragraph">
              <wp:posOffset>2619927</wp:posOffset>
            </wp:positionV>
            <wp:extent cx="1963420" cy="2152015"/>
            <wp:effectExtent l="0" t="0" r="0" b="0"/>
            <wp:wrapTopAndBottom/>
            <wp:docPr id="2" name="Grafik 2" descr="C:\Users\Anne\Dropbox\2. Master Semester\SVP Chemie\7. &amp; 8. Jahrgang\Bilder\DSC004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nne\Dropbox\2. Master Semester\SVP Chemie\7. &amp; 8. Jahrgang\Bilder\DSC00416.JPG"/>
                    <pic:cNvPicPr>
                      <a:picLocks noChangeAspect="1" noChangeArrowheads="1"/>
                    </pic:cNvPicPr>
                  </pic:nvPicPr>
                  <pic:blipFill rotWithShape="1">
                    <a:blip r:embed="rId14"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pic:blipFill>
                  <pic:spPr bwMode="auto">
                    <a:xfrm>
                      <a:off x="0" y="0"/>
                      <a:ext cx="1963420" cy="215201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Pr>
          <w:noProof/>
          <w:lang w:eastAsia="de-DE"/>
        </w:rPr>
      </w:r>
      <w:r>
        <w:rPr>
          <w:noProof/>
          <w:lang w:eastAsia="de-DE"/>
        </w:rPr>
        <w:pict>
          <v:shape id="Text Box 145" o:spid="_x0000_s1027" type="#_x0000_t202" style="width:462.45pt;height:181.65pt;visibility:visible;mso-wrap-style:square;mso-left-percent:-10001;mso-top-percent:-10001;mso-position-horizontal:absolute;mso-position-horizontal-relative:char;mso-position-vertical:absolute;mso-position-vertical-relative:line;mso-left-percent:-10001;mso-top-percent:-10001;v-text-anchor:top" fillcolor="white [3201]" strokecolor="#c0504d [3205]" strokeweight="1pt">
            <v:stroke dashstyle="dash"/>
            <v:shadow color="#868686"/>
            <v:textbox>
              <w:txbxContent>
                <w:p w:rsidR="00542287" w:rsidRPr="00F31EBF" w:rsidRDefault="00542287" w:rsidP="00542287">
                  <w:pPr>
                    <w:rPr>
                      <w:color w:val="auto"/>
                    </w:rPr>
                  </w:pPr>
                  <w:r>
                    <w:rPr>
                      <w:color w:val="auto"/>
                    </w:rPr>
                    <w:t xml:space="preserve">Dieses Experiment kann als Problemexperiment verwendet werden. Es sollte ausreichend Zeit zur Verfügung stehen, um es angemessen mit den </w:t>
                  </w:r>
                  <w:proofErr w:type="spellStart"/>
                  <w:r>
                    <w:rPr>
                      <w:color w:val="auto"/>
                    </w:rPr>
                    <w:t>SuS</w:t>
                  </w:r>
                  <w:proofErr w:type="spellEnd"/>
                  <w:r>
                    <w:rPr>
                      <w:color w:val="auto"/>
                    </w:rPr>
                    <w:t xml:space="preserve"> vor- und nachzubereiten. In der Vorb</w:t>
                  </w:r>
                  <w:r>
                    <w:rPr>
                      <w:color w:val="auto"/>
                    </w:rPr>
                    <w:t>e</w:t>
                  </w:r>
                  <w:r>
                    <w:rPr>
                      <w:color w:val="auto"/>
                    </w:rPr>
                    <w:t xml:space="preserve">reitung sollten die Vermutungen zum Gesamtvolumen der </w:t>
                  </w:r>
                  <w:proofErr w:type="spellStart"/>
                  <w:r>
                    <w:rPr>
                      <w:color w:val="auto"/>
                    </w:rPr>
                    <w:t>SuS</w:t>
                  </w:r>
                  <w:proofErr w:type="spellEnd"/>
                  <w:r>
                    <w:rPr>
                      <w:color w:val="auto"/>
                    </w:rPr>
                    <w:t xml:space="preserve"> erfragt werden. Es sollten die Volumina für alle sichtbar abgemessen werden. Es ist auch möglich, eine kurze Experimentie</w:t>
                  </w:r>
                  <w:r>
                    <w:rPr>
                      <w:color w:val="auto"/>
                    </w:rPr>
                    <w:t>r</w:t>
                  </w:r>
                  <w:r>
                    <w:rPr>
                      <w:color w:val="auto"/>
                    </w:rPr>
                    <w:t xml:space="preserve">phase einzufügen in denen die </w:t>
                  </w:r>
                  <w:proofErr w:type="spellStart"/>
                  <w:r>
                    <w:rPr>
                      <w:color w:val="auto"/>
                    </w:rPr>
                    <w:t>SuS</w:t>
                  </w:r>
                  <w:proofErr w:type="spellEnd"/>
                  <w:r>
                    <w:rPr>
                      <w:color w:val="auto"/>
                    </w:rPr>
                    <w:t xml:space="preserve"> selbst aktiv werden. Dann könnten mehrere Ergebnisse verglichen werden. Im Anschluss sollte das „Problem“ erörtert werden und eine schlüssige Erklärung geliefert werden. Dazu könnten große Kugeln aus dem </w:t>
                  </w:r>
                  <w:proofErr w:type="spellStart"/>
                  <w:r>
                    <w:rPr>
                      <w:color w:val="auto"/>
                    </w:rPr>
                    <w:t>Dekobedarf</w:t>
                  </w:r>
                  <w:proofErr w:type="spellEnd"/>
                  <w:r>
                    <w:rPr>
                      <w:color w:val="auto"/>
                    </w:rPr>
                    <w:t xml:space="preserve"> gezeigt werden, um die Freiräume zu verdeutlichen. Im Anschluss bietet es sich an, den Modellversuch zu di</w:t>
                  </w:r>
                  <w:r>
                    <w:rPr>
                      <w:color w:val="auto"/>
                    </w:rPr>
                    <w:t>e</w:t>
                  </w:r>
                  <w:r>
                    <w:rPr>
                      <w:color w:val="auto"/>
                    </w:rPr>
                    <w:t xml:space="preserve">sem Experiment zu machen. </w:t>
                  </w:r>
                </w:p>
              </w:txbxContent>
            </v:textbox>
            <w10:wrap type="none"/>
            <w10:anchorlock/>
          </v:shape>
        </w:pict>
      </w:r>
    </w:p>
    <w:p w:rsidR="00542287" w:rsidRDefault="00542287" w:rsidP="00542287">
      <w:pPr>
        <w:tabs>
          <w:tab w:val="left" w:pos="1701"/>
          <w:tab w:val="left" w:pos="1985"/>
        </w:tabs>
        <w:ind w:left="1980" w:hanging="1980"/>
      </w:pPr>
    </w:p>
    <w:p w:rsidR="00542287" w:rsidRDefault="00542287" w:rsidP="00542287">
      <w:pPr>
        <w:pStyle w:val="berschrift2"/>
      </w:pPr>
      <w:bookmarkStart w:id="3" w:name="_Toc427831601"/>
      <w:r>
        <w:t>Modellversuch mit Alltagsgegenständen</w:t>
      </w:r>
      <w:bookmarkEnd w:id="3"/>
    </w:p>
    <w:p w:rsidR="00542287" w:rsidRDefault="00542287" w:rsidP="00542287">
      <w:pPr>
        <w:tabs>
          <w:tab w:val="left" w:pos="1701"/>
          <w:tab w:val="left" w:pos="1985"/>
        </w:tabs>
        <w:ind w:left="1980" w:hanging="1980"/>
      </w:pPr>
      <w:r>
        <w:t xml:space="preserve">Materialien: </w:t>
      </w:r>
      <w:r>
        <w:tab/>
      </w:r>
      <w:r>
        <w:tab/>
        <w:t xml:space="preserve">2 Messzylinder mit 100 </w:t>
      </w:r>
      <w:proofErr w:type="spellStart"/>
      <w:r>
        <w:t>mL</w:t>
      </w:r>
      <w:proofErr w:type="spellEnd"/>
      <w:r>
        <w:t xml:space="preserve"> Fassungsvolumen, Lupe</w:t>
      </w:r>
    </w:p>
    <w:p w:rsidR="00542287" w:rsidRPr="00ED07C2" w:rsidRDefault="00542287" w:rsidP="00542287">
      <w:pPr>
        <w:tabs>
          <w:tab w:val="left" w:pos="1701"/>
          <w:tab w:val="left" w:pos="1985"/>
        </w:tabs>
        <w:ind w:left="1980" w:hanging="1980"/>
      </w:pPr>
      <w:r>
        <w:t>Chemikalien:</w:t>
      </w:r>
      <w:r>
        <w:tab/>
      </w:r>
      <w:r>
        <w:tab/>
        <w:t xml:space="preserve">Kochsalz, Backerbsen (oder ein andere kugelförmiges Nahrungsmittel wie </w:t>
      </w:r>
      <w:proofErr w:type="spellStart"/>
      <w:r>
        <w:t>Schokoballs</w:t>
      </w:r>
      <w:proofErr w:type="spellEnd"/>
      <w:r>
        <w:noBreakHyphen/>
        <w:t>Müsli oder Kichererbsen)</w:t>
      </w:r>
    </w:p>
    <w:p w:rsidR="00542287" w:rsidRDefault="00542287" w:rsidP="00542287">
      <w:pPr>
        <w:tabs>
          <w:tab w:val="left" w:pos="1701"/>
          <w:tab w:val="left" w:pos="1985"/>
        </w:tabs>
        <w:ind w:left="1980" w:hanging="1980"/>
      </w:pPr>
      <w:r>
        <w:t xml:space="preserve">Durchführung: </w:t>
      </w:r>
      <w:r>
        <w:tab/>
      </w:r>
      <w:r>
        <w:tab/>
        <w:t xml:space="preserve">Es wird jeweils ein Volumen von 50 </w:t>
      </w:r>
      <w:proofErr w:type="spellStart"/>
      <w:r>
        <w:t>mL</w:t>
      </w:r>
      <w:proofErr w:type="spellEnd"/>
      <w:r>
        <w:t xml:space="preserve"> der beiden Streugüter abgemessen und anschließend zusammen gegeben. Dann wird das Gesamtvolumen g</w:t>
      </w:r>
      <w:r>
        <w:t>e</w:t>
      </w:r>
      <w:r>
        <w:t xml:space="preserve">messen.    </w:t>
      </w:r>
    </w:p>
    <w:p w:rsidR="00542287" w:rsidRDefault="00542287" w:rsidP="00542287">
      <w:pPr>
        <w:tabs>
          <w:tab w:val="left" w:pos="1701"/>
          <w:tab w:val="left" w:pos="1985"/>
        </w:tabs>
        <w:ind w:left="1980" w:hanging="1980"/>
      </w:pPr>
      <w:r>
        <w:t>Beobachtung:</w:t>
      </w:r>
      <w:r>
        <w:tab/>
      </w:r>
      <w:r>
        <w:tab/>
        <w:t xml:space="preserve">Das Gesamtvolumen beträgt 87 </w:t>
      </w:r>
      <w:proofErr w:type="spellStart"/>
      <w:r>
        <w:t>mL</w:t>
      </w:r>
      <w:proofErr w:type="spellEnd"/>
      <w:r>
        <w:t>.</w:t>
      </w:r>
    </w:p>
    <w:p w:rsidR="00542287" w:rsidRDefault="00542287" w:rsidP="00542287">
      <w:pPr>
        <w:tabs>
          <w:tab w:val="left" w:pos="1701"/>
          <w:tab w:val="left" w:pos="1985"/>
        </w:tabs>
        <w:ind w:left="2124" w:hanging="2124"/>
        <w:rPr>
          <w:rFonts w:eastAsiaTheme="minorEastAsia"/>
        </w:rPr>
      </w:pPr>
      <w:r>
        <w:t>Deutung:</w:t>
      </w:r>
      <w:r>
        <w:tab/>
      </w:r>
      <w:r>
        <w:tab/>
      </w:r>
      <w:r>
        <w:tab/>
        <w:t xml:space="preserve">Das Kochsalz kann die Zwischenräume der Backerbsen ausfüllen, sodass das Gesamtvolumen nicht aus der Addition der Einzelvolumina bestimmt werden kann.   </w:t>
      </w:r>
    </w:p>
    <w:p w:rsidR="00542287" w:rsidRDefault="00542287" w:rsidP="00542287">
      <w:pPr>
        <w:spacing w:line="276" w:lineRule="auto"/>
        <w:jc w:val="left"/>
      </w:pPr>
      <w:r>
        <w:rPr>
          <w:noProof/>
          <w:lang w:eastAsia="de-DE"/>
        </w:rPr>
        <w:lastRenderedPageBreak/>
        <w:pict>
          <v:shape id="Text Box 134" o:spid="_x0000_s1029" type="#_x0000_t202" style="position:absolute;margin-left:6.8pt;margin-top:208.9pt;width:414.65pt;height:2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" stroked="f">
            <v:textbox style="mso-fit-shape-to-text:t" inset="0,0,0,0">
              <w:txbxContent>
                <w:p w:rsidR="00542287" w:rsidRPr="0007329F" w:rsidRDefault="00542287" w:rsidP="00542287">
                  <w:pPr>
                    <w:pStyle w:val="Beschriftung"/>
                    <w:jc w:val="center"/>
                    <w:rPr>
                      <w:noProof/>
                      <w:color w:val="1D1B11" w:themeColor="background2" w:themeShade="1A"/>
                    </w:rPr>
                  </w:pPr>
                  <w:r>
                    <w:t xml:space="preserve">Abbildung </w:t>
                  </w:r>
                  <w:fldSimple w:instr=" SEQ Abbildung \* ARABIC ">
                    <w:r>
                      <w:rPr>
                        <w:noProof/>
                      </w:rPr>
                      <w:t>2</w:t>
                    </w:r>
                  </w:fldSimple>
                  <w:r>
                    <w:t>: Salz und Backerbsen wurden für den Modellversuch genutzt.</w:t>
                  </w:r>
                </w:p>
              </w:txbxContent>
            </v:textbox>
            <w10:wrap type="topAndBottom"/>
          </v:shape>
        </w:pict>
      </w:r>
      <w:r>
        <w:rPr>
          <w:noProof/>
          <w:lang w:eastAsia="de-DE"/>
        </w:rPr>
        <w:drawing>
          <wp:anchor distT="0" distB="0" distL="114300" distR="114300" simplePos="0" relativeHeight="251662336" behindDoc="0" locked="0" layoutInCell="1" allowOverlap="1">
            <wp:simplePos x="0" y="0"/>
            <wp:positionH relativeFrom="column">
              <wp:posOffset>86830</wp:posOffset>
            </wp:positionH>
            <wp:positionV relativeFrom="paragraph">
              <wp:posOffset>436852</wp:posOffset>
            </wp:positionV>
            <wp:extent cx="2411730" cy="2159635"/>
            <wp:effectExtent l="0" t="0" r="0" b="0"/>
            <wp:wrapTopAndBottom/>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SC00419.JPG"/>
                    <pic:cNvPicPr/>
                  </pic:nvPicPr>
                  <pic:blipFill rotWithShape="1">
                    <a:blip r:embed="rId15"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pic:blipFill>
                  <pic:spPr bwMode="auto">
                    <a:xfrm>
                      <a:off x="0" y="0"/>
                      <a:ext cx="2411730" cy="215963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t>Entsorgung:</w:t>
      </w:r>
      <w:r>
        <w:tab/>
        <w:t xml:space="preserve">           </w:t>
      </w:r>
      <w:r>
        <w:tab/>
        <w:t>Die Entsorgung erf</w:t>
      </w:r>
      <w:r>
        <w:rPr>
          <w:noProof/>
          <w:lang w:eastAsia="de-DE"/>
        </w:rPr>
        <w:drawing>
          <wp:anchor distT="0" distB="0" distL="114300" distR="114300" simplePos="0" relativeHeight="251661312" behindDoc="0" locked="0" layoutInCell="1" allowOverlap="1">
            <wp:simplePos x="0" y="0"/>
            <wp:positionH relativeFrom="column">
              <wp:posOffset>2549718</wp:posOffset>
            </wp:positionH>
            <wp:positionV relativeFrom="paragraph">
              <wp:posOffset>437487</wp:posOffset>
            </wp:positionV>
            <wp:extent cx="2781162" cy="2160000"/>
            <wp:effectExtent l="0" t="0" r="0" b="0"/>
            <wp:wrapTopAndBottom/>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DSC00422.JPG"/>
                    <pic:cNvPicPr/>
                  </pic:nvPicPr>
                  <pic:blipFill rotWithShape="1">
                    <a:blip r:embed="rId16"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pic:blipFill>
                  <pic:spPr bwMode="auto">
                    <a:xfrm>
                      <a:off x="0" y="0"/>
                      <a:ext cx="2781162" cy="21600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t xml:space="preserve">olgt im Hausmüll. </w:t>
      </w:r>
    </w:p>
    <w:p w:rsidR="00542287" w:rsidRDefault="00542287" w:rsidP="00542287">
      <w:pPr>
        <w:spacing w:line="276" w:lineRule="auto"/>
        <w:jc w:val="left"/>
      </w:pPr>
    </w:p>
    <w:p w:rsidR="00542287" w:rsidRDefault="00542287" w:rsidP="00542287">
      <w:r>
        <w:rPr>
          <w:noProof/>
          <w:lang w:eastAsia="de-DE"/>
        </w:rPr>
      </w:r>
      <w:r>
        <w:rPr>
          <w:noProof/>
          <w:lang w:eastAsia="de-DE"/>
        </w:rPr>
        <w:pict>
          <v:shape id="Text Box 144" o:spid="_x0000_s1026" type="#_x0000_t202" style="width:462.45pt;height:254.55pt;visibility:visible;mso-wrap-style:square;mso-left-percent:-10001;mso-top-percent:-10001;mso-position-horizontal:absolute;mso-position-horizontal-relative:char;mso-position-vertical:absolute;mso-position-vertical-relative:line;mso-left-percent:-10001;mso-top-percent:-10001;v-text-anchor:top" fillcolor="white [3201]" strokecolor="#c0504d [3205]" strokeweight="1pt">
            <v:stroke dashstyle="dash"/>
            <v:shadow color="#868686"/>
            <v:textbox>
              <w:txbxContent>
                <w:p w:rsidR="00542287" w:rsidRDefault="00542287" w:rsidP="00542287">
                  <w:pPr>
                    <w:rPr>
                      <w:color w:val="auto"/>
                    </w:rPr>
                  </w:pPr>
                  <w:r>
                    <w:rPr>
                      <w:color w:val="auto"/>
                    </w:rPr>
                    <w:t xml:space="preserve">Dieser Modellversuch sollte im Anschluss an den Demonstrationsversuch Ethanol in Wasser durchgeführt werden.  Der Versuch erklärt ohne viele Worte das Phänomen des „fehlenden“ Volumens. Die </w:t>
                  </w:r>
                  <w:proofErr w:type="spellStart"/>
                  <w:r>
                    <w:rPr>
                      <w:color w:val="auto"/>
                    </w:rPr>
                    <w:t>SuS</w:t>
                  </w:r>
                  <w:proofErr w:type="spellEnd"/>
                  <w:r>
                    <w:rPr>
                      <w:color w:val="auto"/>
                    </w:rPr>
                    <w:t xml:space="preserve"> sollten bereits Kenntnisse zu Modellen und Grundkenntnisse der Modellkr</w:t>
                  </w:r>
                  <w:r>
                    <w:rPr>
                      <w:color w:val="auto"/>
                    </w:rPr>
                    <w:t>i</w:t>
                  </w:r>
                  <w:r>
                    <w:rPr>
                      <w:color w:val="auto"/>
                    </w:rPr>
                    <w:t xml:space="preserve">tik haben. Direkt im Anschluss kann das </w:t>
                  </w:r>
                  <w:proofErr w:type="spellStart"/>
                  <w:r>
                    <w:rPr>
                      <w:color w:val="auto"/>
                    </w:rPr>
                    <w:t>Dalton’sche</w:t>
                  </w:r>
                  <w:proofErr w:type="spellEnd"/>
                  <w:r>
                    <w:rPr>
                      <w:color w:val="auto"/>
                    </w:rPr>
                    <w:t xml:space="preserve"> Atommodell eingeführt werden. Es sollte thematisiert werden, dass Atome keine Farbe haben und dass keine Luft zwischen den Teilchen ist, um die Vorstellung des </w:t>
                  </w:r>
                  <w:proofErr w:type="spellStart"/>
                  <w:r w:rsidRPr="00725FDE">
                    <w:rPr>
                      <w:i/>
                      <w:color w:val="auto"/>
                    </w:rPr>
                    <w:t>horror</w:t>
                  </w:r>
                  <w:proofErr w:type="spellEnd"/>
                  <w:r w:rsidRPr="00725FDE">
                    <w:rPr>
                      <w:i/>
                      <w:color w:val="auto"/>
                    </w:rPr>
                    <w:t xml:space="preserve"> </w:t>
                  </w:r>
                  <w:proofErr w:type="spellStart"/>
                  <w:r w:rsidRPr="00725FDE">
                    <w:rPr>
                      <w:i/>
                      <w:color w:val="auto"/>
                    </w:rPr>
                    <w:t>vacui</w:t>
                  </w:r>
                  <w:proofErr w:type="spellEnd"/>
                  <w:r>
                    <w:rPr>
                      <w:color w:val="auto"/>
                    </w:rPr>
                    <w:t xml:space="preserve"> aufzugreifen. </w:t>
                  </w:r>
                </w:p>
                <w:p w:rsidR="00542287" w:rsidRDefault="00542287" w:rsidP="00542287">
                  <w:pPr>
                    <w:rPr>
                      <w:color w:val="auto"/>
                    </w:rPr>
                  </w:pPr>
                  <w:r>
                    <w:rPr>
                      <w:color w:val="auto"/>
                    </w:rPr>
                    <w:t>Das Salz bietet sich zur Verwendung an, da es von größerer Entfernung als ein einheitlicher Stoff identifiziert werden könnte. Daher ist es gut, wenn etwas davon auf einem dunklen U</w:t>
                  </w:r>
                  <w:r>
                    <w:rPr>
                      <w:color w:val="auto"/>
                    </w:rPr>
                    <w:t>n</w:t>
                  </w:r>
                  <w:r>
                    <w:rPr>
                      <w:color w:val="auto"/>
                    </w:rPr>
                    <w:t xml:space="preserve">tergrund zusammen mit einer Lupe untersucht werden kann, damit die </w:t>
                  </w:r>
                  <w:proofErr w:type="spellStart"/>
                  <w:r>
                    <w:rPr>
                      <w:color w:val="auto"/>
                    </w:rPr>
                    <w:t>SuS</w:t>
                  </w:r>
                  <w:proofErr w:type="spellEnd"/>
                  <w:r>
                    <w:rPr>
                      <w:color w:val="auto"/>
                    </w:rPr>
                    <w:t xml:space="preserve"> die gleich großen einzelnen Kristalle sehen können (Andere Stoffe wie z.B. Sand haben viele Größenunterschiede zwischen den einzelnen Teilchen und ist daher nicht so gut zur Einführung des Dalton Modells geeignet). </w:t>
                  </w:r>
                </w:p>
                <w:p w:rsidR="00542287" w:rsidRDefault="00542287" w:rsidP="00542287"/>
              </w:txbxContent>
            </v:textbox>
            <w10:wrap type="none"/>
            <w10:anchorlock/>
          </v:shape>
        </w:pict>
      </w:r>
    </w:p>
    <w:p w:rsidR="008A7D6F" w:rsidRDefault="008A7D6F"/>
    <w:sectPr w:rsidR="008A7D6F" w:rsidSect="008A7D6F">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425"/>
  <w:characterSpacingControl w:val="doNotCompress"/>
  <w:compat/>
  <w:rsids>
    <w:rsidRoot w:val="00542287"/>
    <w:rsid w:val="00542287"/>
    <w:rsid w:val="008A7D6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42287"/>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542287"/>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542287"/>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542287"/>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54228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54228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54228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54228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54228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54228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42287"/>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542287"/>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542287"/>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542287"/>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542287"/>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542287"/>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542287"/>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542287"/>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542287"/>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542287"/>
    <w:pPr>
      <w:spacing w:line="240" w:lineRule="auto"/>
    </w:pPr>
    <w:rPr>
      <w:bCs/>
      <w:color w:val="auto"/>
      <w:sz w:val="18"/>
      <w:szCs w:val="18"/>
    </w:rPr>
  </w:style>
  <w:style w:type="character" w:styleId="Hyperlink">
    <w:name w:val="Hyperlink"/>
    <w:basedOn w:val="Absatz-Standardschriftart"/>
    <w:uiPriority w:val="99"/>
    <w:unhideWhenUsed/>
    <w:rsid w:val="00542287"/>
    <w:rPr>
      <w:color w:val="000000" w:themeColor="text1"/>
      <w:u w:val="none"/>
    </w:rPr>
  </w:style>
  <w:style w:type="paragraph" w:styleId="Sprechblasentext">
    <w:name w:val="Balloon Text"/>
    <w:basedOn w:val="Standard"/>
    <w:link w:val="SprechblasentextZchn"/>
    <w:uiPriority w:val="99"/>
    <w:semiHidden/>
    <w:unhideWhenUsed/>
    <w:rsid w:val="0054228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42287"/>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175</Words>
  <Characters>1105</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Nikolai Kalinke</dc:creator>
  <cp:lastModifiedBy>Nikolai Kalinke</cp:lastModifiedBy>
  <cp:revision>1</cp:revision>
  <dcterms:created xsi:type="dcterms:W3CDTF">2015-08-26T19:12:00Z</dcterms:created>
  <dcterms:modified xsi:type="dcterms:W3CDTF">2015-08-26T19:12:00Z</dcterms:modified>
</cp:coreProperties>
</file>