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780" w:rsidRPr="00C33780" w:rsidRDefault="00C33780" w:rsidP="00C33780">
      <w:pPr>
        <w:pStyle w:val="berschrift2"/>
        <w:numPr>
          <w:ilvl w:val="0"/>
          <w:numId w:val="0"/>
        </w:numPr>
        <w:rPr>
          <w:rFonts w:ascii="Cambria" w:hAnsi="Cambria"/>
          <w:sz w:val="32"/>
        </w:rPr>
      </w:pPr>
      <w:bookmarkStart w:id="0" w:name="_Toc426488735"/>
      <w:r w:rsidRPr="00C33780">
        <w:rPr>
          <w:rFonts w:ascii="Cambria" w:hAnsi="Cambria"/>
          <w:sz w:val="32"/>
        </w:rPr>
        <w:t>Sauerstoff als nicht-brennbares Gas</w:t>
      </w:r>
      <w:bookmarkEnd w:id="0"/>
    </w:p>
    <w:tbl>
      <w:tblPr>
        <w:tblW w:w="9315" w:type="dxa"/>
        <w:tblLayout w:type="fixed"/>
        <w:tblCellMar>
          <w:left w:w="10" w:type="dxa"/>
          <w:right w:w="10" w:type="dxa"/>
        </w:tblCellMar>
        <w:tblLook w:val="04A0" w:firstRow="1" w:lastRow="0" w:firstColumn="1" w:lastColumn="0" w:noHBand="0" w:noVBand="1"/>
      </w:tblPr>
      <w:tblGrid>
        <w:gridCol w:w="1009"/>
        <w:gridCol w:w="1009"/>
        <w:gridCol w:w="1008"/>
        <w:gridCol w:w="1008"/>
        <w:gridCol w:w="1174"/>
        <w:gridCol w:w="992"/>
        <w:gridCol w:w="974"/>
        <w:gridCol w:w="1008"/>
        <w:gridCol w:w="1133"/>
      </w:tblGrid>
      <w:tr w:rsidR="00C33780" w:rsidRPr="00C33780" w:rsidTr="002051DD">
        <w:tc>
          <w:tcPr>
            <w:tcW w:w="9315" w:type="dxa"/>
            <w:gridSpan w:val="9"/>
            <w:tcBorders>
              <w:top w:val="single" w:sz="8" w:space="0" w:color="4F81BD"/>
              <w:left w:val="single" w:sz="8" w:space="0" w:color="4F81BD"/>
              <w:bottom w:val="nil"/>
              <w:right w:val="single" w:sz="8" w:space="0" w:color="4F81BD"/>
            </w:tcBorders>
            <w:shd w:val="clear" w:color="auto" w:fill="4F81BD"/>
            <w:tcMar>
              <w:top w:w="0" w:type="dxa"/>
              <w:left w:w="108" w:type="dxa"/>
              <w:bottom w:w="0" w:type="dxa"/>
              <w:right w:w="108" w:type="dxa"/>
            </w:tcMar>
            <w:vAlign w:val="center"/>
            <w:hideMark/>
          </w:tcPr>
          <w:p w:rsidR="00C33780" w:rsidRPr="00C33780" w:rsidRDefault="00C33780" w:rsidP="002051DD">
            <w:pPr>
              <w:spacing w:after="0"/>
              <w:jc w:val="center"/>
              <w:rPr>
                <w:b/>
                <w:bCs/>
                <w:color w:val="FFFFFF"/>
              </w:rPr>
            </w:pPr>
            <w:r w:rsidRPr="00C33780">
              <w:rPr>
                <w:b/>
                <w:bCs/>
                <w:color w:val="FFFFFF"/>
              </w:rPr>
              <w:t>Gefahrenstoffe</w:t>
            </w:r>
          </w:p>
        </w:tc>
      </w:tr>
      <w:tr w:rsidR="00C33780" w:rsidRPr="00C33780" w:rsidTr="002051DD">
        <w:trPr>
          <w:trHeight w:val="437"/>
        </w:trPr>
        <w:tc>
          <w:tcPr>
            <w:tcW w:w="3026" w:type="dxa"/>
            <w:gridSpan w:val="3"/>
            <w:tcBorders>
              <w:top w:val="single" w:sz="8" w:space="0" w:color="4F81BD"/>
              <w:left w:val="single" w:sz="8" w:space="0" w:color="4F81BD"/>
              <w:bottom w:val="single" w:sz="8" w:space="0" w:color="4F81BD"/>
              <w:right w:val="nil"/>
            </w:tcBorders>
            <w:tcMar>
              <w:top w:w="0" w:type="dxa"/>
              <w:left w:w="108" w:type="dxa"/>
              <w:bottom w:w="0" w:type="dxa"/>
              <w:right w:w="108" w:type="dxa"/>
            </w:tcMar>
            <w:vAlign w:val="center"/>
            <w:hideMark/>
          </w:tcPr>
          <w:p w:rsidR="00C33780" w:rsidRPr="00C33780" w:rsidRDefault="00C33780" w:rsidP="002051DD">
            <w:pPr>
              <w:spacing w:after="0" w:line="276" w:lineRule="auto"/>
              <w:jc w:val="center"/>
              <w:rPr>
                <w:color w:val="1D1B11"/>
                <w:sz w:val="20"/>
                <w:szCs w:val="20"/>
              </w:rPr>
            </w:pPr>
            <w:r w:rsidRPr="00C33780">
              <w:rPr>
                <w:bCs/>
                <w:sz w:val="20"/>
                <w:szCs w:val="20"/>
              </w:rPr>
              <w:t>Sauerstoff</w:t>
            </w:r>
          </w:p>
        </w:tc>
        <w:tc>
          <w:tcPr>
            <w:tcW w:w="3174" w:type="dxa"/>
            <w:gridSpan w:val="3"/>
            <w:tcBorders>
              <w:top w:val="single" w:sz="8" w:space="0" w:color="4F81BD"/>
              <w:left w:val="nil"/>
              <w:bottom w:val="single" w:sz="8" w:space="0" w:color="4F81BD"/>
              <w:right w:val="nil"/>
            </w:tcBorders>
            <w:tcMar>
              <w:top w:w="0" w:type="dxa"/>
              <w:left w:w="108" w:type="dxa"/>
              <w:bottom w:w="0" w:type="dxa"/>
              <w:right w:w="108" w:type="dxa"/>
            </w:tcMar>
            <w:vAlign w:val="center"/>
            <w:hideMark/>
          </w:tcPr>
          <w:p w:rsidR="00C33780" w:rsidRPr="00C33780" w:rsidRDefault="00C33780" w:rsidP="002051DD">
            <w:pPr>
              <w:spacing w:after="0"/>
              <w:jc w:val="center"/>
              <w:rPr>
                <w:sz w:val="20"/>
                <w:szCs w:val="20"/>
              </w:rPr>
            </w:pPr>
            <w:r w:rsidRPr="00C33780">
              <w:rPr>
                <w:sz w:val="20"/>
                <w:szCs w:val="20"/>
              </w:rPr>
              <w:t>H: 270-280</w:t>
            </w:r>
          </w:p>
        </w:tc>
        <w:tc>
          <w:tcPr>
            <w:tcW w:w="3115" w:type="dxa"/>
            <w:gridSpan w:val="3"/>
            <w:tcBorders>
              <w:top w:val="single" w:sz="8" w:space="0" w:color="4F81BD"/>
              <w:left w:val="nil"/>
              <w:bottom w:val="single" w:sz="8" w:space="0" w:color="4F81BD"/>
              <w:right w:val="single" w:sz="8" w:space="0" w:color="4F81BD"/>
            </w:tcBorders>
            <w:tcMar>
              <w:top w:w="0" w:type="dxa"/>
              <w:left w:w="108" w:type="dxa"/>
              <w:bottom w:w="0" w:type="dxa"/>
              <w:right w:w="108" w:type="dxa"/>
            </w:tcMar>
            <w:vAlign w:val="center"/>
            <w:hideMark/>
          </w:tcPr>
          <w:p w:rsidR="00C33780" w:rsidRPr="00C33780" w:rsidRDefault="00C33780" w:rsidP="002051DD">
            <w:pPr>
              <w:spacing w:after="0"/>
              <w:jc w:val="center"/>
              <w:rPr>
                <w:sz w:val="20"/>
                <w:szCs w:val="20"/>
              </w:rPr>
            </w:pPr>
            <w:r w:rsidRPr="00C33780">
              <w:rPr>
                <w:sz w:val="20"/>
                <w:szCs w:val="20"/>
              </w:rPr>
              <w:t>P: 220-403-244-370+376</w:t>
            </w:r>
          </w:p>
        </w:tc>
      </w:tr>
      <w:tr w:rsidR="00C33780" w:rsidRPr="00C33780" w:rsidTr="002051DD">
        <w:trPr>
          <w:trHeight w:val="434"/>
        </w:trPr>
        <w:tc>
          <w:tcPr>
            <w:tcW w:w="3026" w:type="dxa"/>
            <w:gridSpan w:val="3"/>
            <w:tcBorders>
              <w:top w:val="nil"/>
              <w:left w:val="single" w:sz="8" w:space="0" w:color="4F81BD"/>
              <w:bottom w:val="nil"/>
              <w:right w:val="nil"/>
            </w:tcBorders>
            <w:tcMar>
              <w:top w:w="0" w:type="dxa"/>
              <w:left w:w="108" w:type="dxa"/>
              <w:bottom w:w="0" w:type="dxa"/>
              <w:right w:w="108" w:type="dxa"/>
            </w:tcMar>
            <w:vAlign w:val="center"/>
            <w:hideMark/>
          </w:tcPr>
          <w:p w:rsidR="00C33780" w:rsidRPr="00C33780" w:rsidRDefault="00C33780" w:rsidP="002051DD">
            <w:pPr>
              <w:spacing w:after="0" w:line="276" w:lineRule="auto"/>
              <w:jc w:val="center"/>
              <w:rPr>
                <w:sz w:val="20"/>
                <w:szCs w:val="20"/>
              </w:rPr>
            </w:pPr>
            <w:r w:rsidRPr="00C33780">
              <w:rPr>
                <w:color w:val="auto"/>
                <w:sz w:val="20"/>
                <w:szCs w:val="20"/>
              </w:rPr>
              <w:t>Wasserstoff</w:t>
            </w:r>
          </w:p>
        </w:tc>
        <w:tc>
          <w:tcPr>
            <w:tcW w:w="3174" w:type="dxa"/>
            <w:gridSpan w:val="3"/>
            <w:tcMar>
              <w:top w:w="0" w:type="dxa"/>
              <w:left w:w="108" w:type="dxa"/>
              <w:bottom w:w="0" w:type="dxa"/>
              <w:right w:w="108" w:type="dxa"/>
            </w:tcMar>
            <w:vAlign w:val="center"/>
            <w:hideMark/>
          </w:tcPr>
          <w:p w:rsidR="00C33780" w:rsidRPr="00C33780" w:rsidRDefault="00C33780" w:rsidP="002051DD">
            <w:pPr>
              <w:pStyle w:val="Beschriftung"/>
              <w:spacing w:after="0" w:line="276" w:lineRule="auto"/>
              <w:jc w:val="center"/>
              <w:rPr>
                <w:sz w:val="20"/>
                <w:szCs w:val="20"/>
              </w:rPr>
            </w:pPr>
            <w:r w:rsidRPr="00C33780">
              <w:rPr>
                <w:sz w:val="20"/>
                <w:szCs w:val="20"/>
              </w:rPr>
              <w:t>H: 220-280</w:t>
            </w:r>
          </w:p>
        </w:tc>
        <w:tc>
          <w:tcPr>
            <w:tcW w:w="3115" w:type="dxa"/>
            <w:gridSpan w:val="3"/>
            <w:tcBorders>
              <w:top w:val="nil"/>
              <w:left w:val="nil"/>
              <w:bottom w:val="nil"/>
              <w:right w:val="single" w:sz="8" w:space="0" w:color="4F81BD"/>
            </w:tcBorders>
            <w:tcMar>
              <w:top w:w="0" w:type="dxa"/>
              <w:left w:w="108" w:type="dxa"/>
              <w:bottom w:w="0" w:type="dxa"/>
              <w:right w:w="108" w:type="dxa"/>
            </w:tcMar>
            <w:vAlign w:val="center"/>
            <w:hideMark/>
          </w:tcPr>
          <w:p w:rsidR="00C33780" w:rsidRPr="00C33780" w:rsidRDefault="00C33780" w:rsidP="002051DD">
            <w:pPr>
              <w:pStyle w:val="Beschriftung"/>
              <w:spacing w:after="0" w:line="276" w:lineRule="auto"/>
              <w:jc w:val="center"/>
              <w:rPr>
                <w:sz w:val="20"/>
                <w:szCs w:val="20"/>
              </w:rPr>
            </w:pPr>
            <w:r w:rsidRPr="00C33780">
              <w:rPr>
                <w:sz w:val="20"/>
                <w:szCs w:val="20"/>
              </w:rPr>
              <w:t>P: 210-377-381-403</w:t>
            </w:r>
          </w:p>
        </w:tc>
      </w:tr>
      <w:tr w:rsidR="00C33780" w:rsidRPr="00C33780" w:rsidTr="002051DD">
        <w:tc>
          <w:tcPr>
            <w:tcW w:w="1009" w:type="dxa"/>
            <w:tcBorders>
              <w:top w:val="single" w:sz="8" w:space="0" w:color="4F81BD"/>
              <w:left w:val="single" w:sz="8" w:space="0" w:color="4F81BD"/>
              <w:bottom w:val="single" w:sz="8" w:space="0" w:color="4F81BD"/>
              <w:right w:val="nil"/>
            </w:tcBorders>
            <w:tcMar>
              <w:top w:w="0" w:type="dxa"/>
              <w:left w:w="108" w:type="dxa"/>
              <w:bottom w:w="0" w:type="dxa"/>
              <w:right w:w="108" w:type="dxa"/>
            </w:tcMar>
            <w:vAlign w:val="center"/>
            <w:hideMark/>
          </w:tcPr>
          <w:p w:rsidR="00C33780" w:rsidRPr="00C33780" w:rsidRDefault="00C33780" w:rsidP="002051DD">
            <w:pPr>
              <w:spacing w:after="0"/>
              <w:jc w:val="center"/>
            </w:pPr>
            <w:r w:rsidRPr="00C33780">
              <w:rPr>
                <w:b/>
                <w:noProof/>
                <w:lang w:eastAsia="de-DE"/>
              </w:rPr>
              <w:drawing>
                <wp:inline distT="0" distB="0" distL="0" distR="0" wp14:anchorId="63773D98" wp14:editId="7082E4A8">
                  <wp:extent cx="504825" cy="504825"/>
                  <wp:effectExtent l="0" t="0" r="9525" b="952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5" cstate="print">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tcMar>
              <w:top w:w="0" w:type="dxa"/>
              <w:left w:w="108" w:type="dxa"/>
              <w:bottom w:w="0" w:type="dxa"/>
              <w:right w:w="108" w:type="dxa"/>
            </w:tcMar>
            <w:vAlign w:val="center"/>
            <w:hideMark/>
          </w:tcPr>
          <w:p w:rsidR="00C33780" w:rsidRPr="00C33780" w:rsidRDefault="00C33780" w:rsidP="002051DD">
            <w:pPr>
              <w:spacing w:after="0"/>
              <w:jc w:val="center"/>
            </w:pPr>
            <w:r w:rsidRPr="00C33780">
              <w:rPr>
                <w:noProof/>
                <w:lang w:eastAsia="de-DE"/>
              </w:rPr>
              <w:drawing>
                <wp:inline distT="0" distB="0" distL="0" distR="0" wp14:anchorId="688AE535" wp14:editId="33881CEA">
                  <wp:extent cx="504825" cy="504825"/>
                  <wp:effectExtent l="0" t="0" r="9525" b="952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6" cstate="print">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1008" w:type="dxa"/>
            <w:tcBorders>
              <w:top w:val="single" w:sz="8" w:space="0" w:color="4F81BD"/>
              <w:left w:val="nil"/>
              <w:bottom w:val="single" w:sz="8" w:space="0" w:color="4F81BD"/>
              <w:right w:val="nil"/>
            </w:tcBorders>
            <w:tcMar>
              <w:top w:w="0" w:type="dxa"/>
              <w:left w:w="108" w:type="dxa"/>
              <w:bottom w:w="0" w:type="dxa"/>
              <w:right w:w="108" w:type="dxa"/>
            </w:tcMar>
            <w:vAlign w:val="center"/>
            <w:hideMark/>
          </w:tcPr>
          <w:p w:rsidR="00C33780" w:rsidRPr="00C33780" w:rsidRDefault="00C33780" w:rsidP="002051DD">
            <w:pPr>
              <w:spacing w:after="0"/>
              <w:jc w:val="center"/>
            </w:pPr>
            <w:r w:rsidRPr="00C33780">
              <w:rPr>
                <w:noProof/>
                <w:lang w:eastAsia="de-DE"/>
              </w:rPr>
              <w:drawing>
                <wp:inline distT="0" distB="0" distL="0" distR="0" wp14:anchorId="07C9FDC0" wp14:editId="6B185FD3">
                  <wp:extent cx="504825" cy="504825"/>
                  <wp:effectExtent l="0" t="0" r="9525" b="952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7" cstate="print">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1008" w:type="dxa"/>
            <w:tcBorders>
              <w:top w:val="single" w:sz="8" w:space="0" w:color="4F81BD"/>
              <w:left w:val="nil"/>
              <w:bottom w:val="single" w:sz="8" w:space="0" w:color="4F81BD"/>
              <w:right w:val="nil"/>
            </w:tcBorders>
            <w:tcMar>
              <w:top w:w="0" w:type="dxa"/>
              <w:left w:w="108" w:type="dxa"/>
              <w:bottom w:w="0" w:type="dxa"/>
              <w:right w:w="108" w:type="dxa"/>
            </w:tcMar>
            <w:vAlign w:val="center"/>
            <w:hideMark/>
          </w:tcPr>
          <w:p w:rsidR="00C33780" w:rsidRPr="00C33780" w:rsidRDefault="00C33780" w:rsidP="002051DD">
            <w:pPr>
              <w:spacing w:after="0"/>
              <w:jc w:val="center"/>
            </w:pPr>
            <w:r w:rsidRPr="00C33780">
              <w:rPr>
                <w:noProof/>
                <w:lang w:eastAsia="de-DE"/>
              </w:rPr>
              <w:drawing>
                <wp:inline distT="0" distB="0" distL="0" distR="0" wp14:anchorId="212120E2" wp14:editId="0EF74211">
                  <wp:extent cx="504825" cy="504825"/>
                  <wp:effectExtent l="0" t="0" r="9525"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174" w:type="dxa"/>
            <w:tcBorders>
              <w:top w:val="single" w:sz="8" w:space="0" w:color="4F81BD"/>
              <w:left w:val="nil"/>
              <w:bottom w:val="single" w:sz="8" w:space="0" w:color="4F81BD"/>
              <w:right w:val="nil"/>
            </w:tcBorders>
            <w:tcMar>
              <w:top w:w="0" w:type="dxa"/>
              <w:left w:w="108" w:type="dxa"/>
              <w:bottom w:w="0" w:type="dxa"/>
              <w:right w:w="108" w:type="dxa"/>
            </w:tcMar>
            <w:vAlign w:val="center"/>
            <w:hideMark/>
          </w:tcPr>
          <w:p w:rsidR="00C33780" w:rsidRPr="00C33780" w:rsidRDefault="00C33780" w:rsidP="002051DD">
            <w:pPr>
              <w:spacing w:after="0"/>
              <w:jc w:val="center"/>
            </w:pPr>
            <w:r w:rsidRPr="00C33780">
              <w:rPr>
                <w:noProof/>
                <w:lang w:eastAsia="de-DE"/>
              </w:rPr>
              <w:drawing>
                <wp:inline distT="0" distB="0" distL="0" distR="0" wp14:anchorId="3EAE2FFC" wp14:editId="3B73BE06">
                  <wp:extent cx="504825" cy="504825"/>
                  <wp:effectExtent l="0" t="0" r="9525"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992" w:type="dxa"/>
            <w:tcBorders>
              <w:top w:val="single" w:sz="8" w:space="0" w:color="4F81BD"/>
              <w:left w:val="nil"/>
              <w:bottom w:val="single" w:sz="8" w:space="0" w:color="4F81BD"/>
              <w:right w:val="nil"/>
            </w:tcBorders>
            <w:tcMar>
              <w:top w:w="0" w:type="dxa"/>
              <w:left w:w="108" w:type="dxa"/>
              <w:bottom w:w="0" w:type="dxa"/>
              <w:right w:w="108" w:type="dxa"/>
            </w:tcMar>
            <w:vAlign w:val="center"/>
            <w:hideMark/>
          </w:tcPr>
          <w:p w:rsidR="00C33780" w:rsidRPr="00C33780" w:rsidRDefault="00C33780" w:rsidP="002051DD">
            <w:pPr>
              <w:spacing w:after="0"/>
              <w:jc w:val="center"/>
            </w:pPr>
            <w:r w:rsidRPr="00C33780">
              <w:rPr>
                <w:noProof/>
                <w:lang w:eastAsia="de-DE"/>
              </w:rPr>
              <w:drawing>
                <wp:inline distT="0" distB="0" distL="0" distR="0" wp14:anchorId="624DC019" wp14:editId="5BCF69B4">
                  <wp:extent cx="504825" cy="504825"/>
                  <wp:effectExtent l="0" t="0" r="952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974" w:type="dxa"/>
            <w:tcBorders>
              <w:top w:val="single" w:sz="8" w:space="0" w:color="4F81BD"/>
              <w:left w:val="nil"/>
              <w:bottom w:val="single" w:sz="8" w:space="0" w:color="4F81BD"/>
              <w:right w:val="nil"/>
            </w:tcBorders>
            <w:tcMar>
              <w:top w:w="0" w:type="dxa"/>
              <w:left w:w="108" w:type="dxa"/>
              <w:bottom w:w="0" w:type="dxa"/>
              <w:right w:w="108" w:type="dxa"/>
            </w:tcMar>
            <w:vAlign w:val="center"/>
            <w:hideMark/>
          </w:tcPr>
          <w:p w:rsidR="00C33780" w:rsidRPr="00C33780" w:rsidRDefault="00C33780" w:rsidP="002051DD">
            <w:pPr>
              <w:spacing w:after="0"/>
              <w:jc w:val="center"/>
            </w:pPr>
            <w:r w:rsidRPr="00C33780">
              <w:rPr>
                <w:noProof/>
                <w:lang w:eastAsia="de-DE"/>
              </w:rPr>
              <w:drawing>
                <wp:inline distT="0" distB="0" distL="0" distR="0" wp14:anchorId="3F170A70" wp14:editId="71F841AD">
                  <wp:extent cx="504825" cy="504825"/>
                  <wp:effectExtent l="0" t="0" r="9525" b="952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8" w:type="dxa"/>
            <w:tcBorders>
              <w:top w:val="single" w:sz="8" w:space="0" w:color="4F81BD"/>
              <w:left w:val="nil"/>
              <w:bottom w:val="single" w:sz="8" w:space="0" w:color="4F81BD"/>
              <w:right w:val="nil"/>
            </w:tcBorders>
            <w:tcMar>
              <w:top w:w="0" w:type="dxa"/>
              <w:left w:w="108" w:type="dxa"/>
              <w:bottom w:w="0" w:type="dxa"/>
              <w:right w:w="108" w:type="dxa"/>
            </w:tcMar>
            <w:vAlign w:val="center"/>
            <w:hideMark/>
          </w:tcPr>
          <w:p w:rsidR="00C33780" w:rsidRPr="00C33780" w:rsidRDefault="00C33780" w:rsidP="002051DD">
            <w:pPr>
              <w:spacing w:after="0"/>
              <w:jc w:val="center"/>
            </w:pPr>
            <w:r w:rsidRPr="00C33780">
              <w:rPr>
                <w:noProof/>
                <w:lang w:eastAsia="de-DE"/>
              </w:rPr>
              <w:drawing>
                <wp:inline distT="0" distB="0" distL="0" distR="0" wp14:anchorId="5BFC85A1" wp14:editId="019F4E07">
                  <wp:extent cx="514350" cy="51435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2" cstate="print">
                            <a:extLst>
                              <a:ext uri="{28A0092B-C50C-407E-A947-70E740481C1C}">
                                <a14:useLocalDpi xmlns:a14="http://schemas.microsoft.com/office/drawing/2010/main"/>
                              </a:ext>
                            </a:extLst>
                          </a:blip>
                          <a:stretch>
                            <a:fillRect/>
                          </a:stretch>
                        </pic:blipFill>
                        <pic:spPr bwMode="auto">
                          <a:xfrm>
                            <a:off x="0" y="0"/>
                            <a:ext cx="514350" cy="514350"/>
                          </a:xfrm>
                          <a:prstGeom prst="rect">
                            <a:avLst/>
                          </a:prstGeom>
                          <a:noFill/>
                          <a:ln>
                            <a:noFill/>
                          </a:ln>
                        </pic:spPr>
                      </pic:pic>
                    </a:graphicData>
                  </a:graphic>
                </wp:inline>
              </w:drawing>
            </w:r>
          </w:p>
        </w:tc>
        <w:tc>
          <w:tcPr>
            <w:tcW w:w="1133" w:type="dxa"/>
            <w:tcBorders>
              <w:top w:val="single" w:sz="8" w:space="0" w:color="4F81BD"/>
              <w:left w:val="nil"/>
              <w:bottom w:val="single" w:sz="8" w:space="0" w:color="4F81BD"/>
              <w:right w:val="single" w:sz="8" w:space="0" w:color="4F81BD"/>
            </w:tcBorders>
            <w:tcMar>
              <w:top w:w="0" w:type="dxa"/>
              <w:left w:w="108" w:type="dxa"/>
              <w:bottom w:w="0" w:type="dxa"/>
              <w:right w:w="108" w:type="dxa"/>
            </w:tcMar>
            <w:vAlign w:val="center"/>
            <w:hideMark/>
          </w:tcPr>
          <w:p w:rsidR="00C33780" w:rsidRPr="00C33780" w:rsidRDefault="00C33780" w:rsidP="002051DD">
            <w:pPr>
              <w:spacing w:after="0"/>
              <w:jc w:val="center"/>
            </w:pPr>
            <w:r w:rsidRPr="00C33780">
              <w:rPr>
                <w:noProof/>
                <w:lang w:eastAsia="de-DE"/>
              </w:rPr>
              <w:drawing>
                <wp:inline distT="0" distB="0" distL="0" distR="0" wp14:anchorId="57812288" wp14:editId="101699E5">
                  <wp:extent cx="504825" cy="504825"/>
                  <wp:effectExtent l="0" t="0" r="952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r>
    </w:tbl>
    <w:p w:rsidR="00C33780" w:rsidRPr="00C33780" w:rsidRDefault="00C33780" w:rsidP="00C33780"/>
    <w:p w:rsidR="00C33780" w:rsidRPr="00C33780" w:rsidRDefault="00C33780" w:rsidP="00C33780">
      <w:pPr>
        <w:tabs>
          <w:tab w:val="left" w:pos="1701"/>
          <w:tab w:val="left" w:pos="1985"/>
        </w:tabs>
        <w:ind w:left="1980" w:hanging="1980"/>
      </w:pPr>
      <w:bookmarkStart w:id="1" w:name="_Toc425776595"/>
      <w:bookmarkEnd w:id="1"/>
      <w:r w:rsidRPr="00C33780">
        <w:t xml:space="preserve">Materialien: </w:t>
      </w:r>
      <w:r w:rsidRPr="00C33780">
        <w:tab/>
      </w:r>
      <w:r w:rsidRPr="00C33780">
        <w:tab/>
        <w:t>Zündfunkengeber, Zündmechanismus mit Gasbehältern, Pneumatische Wanne, Sauerstoff- und Wasserstoff-Gasflasche, Kabel</w:t>
      </w:r>
    </w:p>
    <w:p w:rsidR="00C33780" w:rsidRPr="00C33780" w:rsidRDefault="00C33780" w:rsidP="00C33780">
      <w:pPr>
        <w:tabs>
          <w:tab w:val="left" w:pos="1701"/>
          <w:tab w:val="left" w:pos="1985"/>
        </w:tabs>
        <w:ind w:left="1980" w:hanging="1980"/>
      </w:pPr>
      <w:r w:rsidRPr="00C33780">
        <w:t>Chemikalien:</w:t>
      </w:r>
      <w:r w:rsidRPr="00C33780">
        <w:tab/>
      </w:r>
      <w:r w:rsidRPr="00C33780">
        <w:tab/>
        <w:t>Sauerstoff, Wasserstoff, Wasser</w:t>
      </w:r>
    </w:p>
    <w:p w:rsidR="00C33780" w:rsidRPr="00C33780" w:rsidRDefault="00C33780" w:rsidP="00C33780">
      <w:pPr>
        <w:tabs>
          <w:tab w:val="left" w:pos="1701"/>
          <w:tab w:val="left" w:pos="1985"/>
        </w:tabs>
        <w:ind w:left="1980" w:hanging="1980"/>
      </w:pPr>
      <w:r w:rsidRPr="00C33780">
        <w:t xml:space="preserve">Durchführung: </w:t>
      </w:r>
      <w:r w:rsidRPr="00C33780">
        <w:tab/>
      </w:r>
      <w:r w:rsidRPr="00C33780">
        <w:tab/>
        <w:t xml:space="preserve"> Ein Gasbehälter wird mit Hilfe einer pneumatischen Wanne vollständig mit Sauerstoff befüllt. Ein zweiter Gasbehälter wird zu gleichen Teilen mit Sauerstoff und Wasserstoff befüllt. Diese werden nacheinander auf dem Zündmechanismus befestigt und der Zündfunkengeber betätigt.</w:t>
      </w:r>
    </w:p>
    <w:p w:rsidR="00C33780" w:rsidRPr="00C33780" w:rsidRDefault="00C33780" w:rsidP="00C33780">
      <w:pPr>
        <w:tabs>
          <w:tab w:val="left" w:pos="1701"/>
          <w:tab w:val="left" w:pos="1985"/>
        </w:tabs>
        <w:ind w:left="1980" w:hanging="1980"/>
      </w:pPr>
      <w:r w:rsidRPr="00C33780">
        <w:t>Beobachtung:</w:t>
      </w:r>
      <w:r w:rsidRPr="00C33780">
        <w:tab/>
      </w:r>
      <w:r w:rsidRPr="00C33780">
        <w:tab/>
        <w:t>Bei dem mit Sauerstoff gefüllten Behälter ist keine Reaktion nach Betätigung des Zündfunkengebers auszumachen. Bei dem zu gleichen Teilen gefüllten Behälter ist eine heftige Explosion zu beobachten und ein lautes Knallen zu hören.</w:t>
      </w:r>
    </w:p>
    <w:p w:rsidR="00C33780" w:rsidRPr="00C33780" w:rsidRDefault="00C33780" w:rsidP="00C33780">
      <w:pPr>
        <w:keepNext/>
        <w:tabs>
          <w:tab w:val="left" w:pos="1701"/>
          <w:tab w:val="left" w:pos="1985"/>
        </w:tabs>
        <w:ind w:left="1980" w:hanging="1980"/>
      </w:pPr>
      <w:r w:rsidRPr="00C33780">
        <w:rPr>
          <w:noProof/>
          <w:lang w:eastAsia="de-DE"/>
        </w:rPr>
        <w:drawing>
          <wp:inline distT="0" distB="0" distL="0" distR="0" wp14:anchorId="4E1AA701" wp14:editId="6F85AFC5">
            <wp:extent cx="4803004" cy="2408555"/>
            <wp:effectExtent l="0" t="0" r="0" b="0"/>
            <wp:docPr id="5" name="Inhaltsplatzhalt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nhaltsplatzhalter 4"/>
                    <pic:cNvPicPr>
                      <a:picLocks noGrp="1" noChangeAspect="1"/>
                    </pic:cNvPicPr>
                  </pic:nvPicPr>
                  <pic:blipFill>
                    <a:blip r:embed="rId14" cstate="print">
                      <a:extLst>
                        <a:ext uri="{28A0092B-C50C-407E-A947-70E740481C1C}">
                          <a14:useLocalDpi xmlns:a14="http://schemas.microsoft.com/office/drawing/2010/main"/>
                        </a:ext>
                      </a:extLst>
                    </a:blip>
                    <a:stretch>
                      <a:fillRect/>
                    </a:stretch>
                  </pic:blipFill>
                  <pic:spPr>
                    <a:xfrm>
                      <a:off x="0" y="0"/>
                      <a:ext cx="4803004" cy="2408555"/>
                    </a:xfrm>
                    <a:prstGeom prst="rect">
                      <a:avLst/>
                    </a:prstGeom>
                  </pic:spPr>
                </pic:pic>
              </a:graphicData>
            </a:graphic>
          </wp:inline>
        </w:drawing>
      </w:r>
    </w:p>
    <w:p w:rsidR="00C33780" w:rsidRPr="00C33780" w:rsidRDefault="00C33780" w:rsidP="00C33780">
      <w:pPr>
        <w:pStyle w:val="Beschriftung"/>
        <w:jc w:val="left"/>
        <w:rPr>
          <w:noProof/>
        </w:rPr>
      </w:pPr>
      <w:r w:rsidRPr="00C33780">
        <w:t xml:space="preserve">Abb. </w:t>
      </w:r>
      <w:r w:rsidRPr="00C33780">
        <w:fldChar w:fldCharType="begin"/>
      </w:r>
      <w:r w:rsidRPr="00C33780">
        <w:instrText xml:space="preserve"> SEQ Abb. \* ARABIC </w:instrText>
      </w:r>
      <w:r w:rsidRPr="00C33780">
        <w:fldChar w:fldCharType="separate"/>
      </w:r>
      <w:r w:rsidRPr="00C33780">
        <w:rPr>
          <w:noProof/>
        </w:rPr>
        <w:t>1</w:t>
      </w:r>
      <w:r w:rsidRPr="00C33780">
        <w:rPr>
          <w:noProof/>
        </w:rPr>
        <w:fldChar w:fldCharType="end"/>
      </w:r>
      <w:r w:rsidRPr="00C33780">
        <w:t xml:space="preserve"> - </w:t>
      </w:r>
      <w:r w:rsidRPr="00C33780">
        <w:rPr>
          <w:noProof/>
        </w:rPr>
        <w:t xml:space="preserve"> Versuchsdurchführung mit dem Zündmechanismus.</w:t>
      </w:r>
    </w:p>
    <w:p w:rsidR="00C33780" w:rsidRPr="00C33780" w:rsidRDefault="00C33780" w:rsidP="00C33780"/>
    <w:p w:rsidR="00C33780" w:rsidRPr="00C33780" w:rsidRDefault="00C33780" w:rsidP="00C33780">
      <w:pPr>
        <w:tabs>
          <w:tab w:val="left" w:pos="1701"/>
          <w:tab w:val="left" w:pos="1985"/>
        </w:tabs>
        <w:ind w:left="2124" w:hanging="2124"/>
      </w:pPr>
      <w:r w:rsidRPr="00C33780">
        <w:lastRenderedPageBreak/>
        <w:t>Deutung:</w:t>
      </w:r>
      <w:r w:rsidRPr="00C33780">
        <w:tab/>
      </w:r>
      <w:r w:rsidRPr="00C33780">
        <w:tab/>
      </w:r>
      <w:r w:rsidRPr="00C33780">
        <w:tab/>
        <w:t>Sauerstoff ist ein nicht brennbares Gas, weshalb das reine Gas nicht entzündet werden kann.</w:t>
      </w:r>
    </w:p>
    <w:p w:rsidR="00C33780" w:rsidRPr="00C33780" w:rsidRDefault="00C33780" w:rsidP="00C33780">
      <w:pPr>
        <w:tabs>
          <w:tab w:val="left" w:pos="1701"/>
          <w:tab w:val="left" w:pos="1985"/>
        </w:tabs>
        <w:ind w:left="2124" w:hanging="2124"/>
      </w:pPr>
      <w:r w:rsidRPr="00C33780">
        <w:tab/>
      </w:r>
      <w:r w:rsidRPr="00C33780">
        <w:tab/>
      </w:r>
      <w:r w:rsidRPr="00C33780">
        <w:tab/>
        <w:t xml:space="preserve">Bei der Mischung aus Sauerstoff und Wasserstoff kommt es durch die Aktivierung durch den Zündfunkengeber zur </w:t>
      </w:r>
      <w:proofErr w:type="gramStart"/>
      <w:r w:rsidRPr="00C33780">
        <w:t>Knallgasreaktion .</w:t>
      </w:r>
      <w:proofErr w:type="gramEnd"/>
    </w:p>
    <w:p w:rsidR="00C33780" w:rsidRPr="00C33780" w:rsidRDefault="00C33780" w:rsidP="00C33780">
      <w:pPr>
        <w:tabs>
          <w:tab w:val="left" w:pos="1701"/>
          <w:tab w:val="left" w:pos="1985"/>
        </w:tabs>
        <w:ind w:left="2124" w:hanging="2124"/>
        <w:rPr>
          <w:rFonts w:eastAsiaTheme="minorEastAsia"/>
        </w:rPr>
      </w:pPr>
      <w:r w:rsidRPr="00C33780">
        <w:tab/>
      </w:r>
      <w:r w:rsidRPr="00C33780">
        <w:tab/>
      </w:r>
      <w:r w:rsidRPr="00C33780">
        <w:tab/>
      </w:r>
      <m:oMath>
        <m:r>
          <w:rPr>
            <w:rFonts w:ascii="Cambria Math" w:hAnsi="Cambria Math"/>
          </w:rPr>
          <m:t xml:space="preserve">2 </m:t>
        </m:r>
        <m:sSub>
          <m:sSubPr>
            <m:ctrlPr>
              <w:rPr>
                <w:rFonts w:ascii="Cambria Math" w:hAnsi="Cambria Math"/>
                <w:i/>
              </w:rPr>
            </m:ctrlPr>
          </m:sSubPr>
          <m:e>
            <m:r>
              <w:rPr>
                <w:rFonts w:ascii="Cambria Math" w:hAnsi="Cambria Math"/>
              </w:rPr>
              <m:t>H</m:t>
            </m:r>
          </m:e>
          <m:sub>
            <m:r>
              <w:rPr>
                <w:rFonts w:ascii="Cambria Math" w:hAnsi="Cambria Math"/>
              </w:rPr>
              <m:t>2 (g)</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 (g)</m:t>
            </m:r>
          </m:sub>
        </m:sSub>
        <m:r>
          <w:rPr>
            <w:rFonts w:ascii="Cambria Math" w:hAnsi="Cambria Math"/>
          </w:rPr>
          <m:t xml:space="preserve"> </m:t>
        </m:r>
        <m:box>
          <m:boxPr>
            <m:opEmu m:val="1"/>
            <m:ctrlPr>
              <w:rPr>
                <w:rFonts w:ascii="Cambria Math" w:hAnsi="Cambria Math"/>
                <w:i/>
              </w:rPr>
            </m:ctrlPr>
          </m:boxPr>
          <m:e>
            <m:groupChr>
              <m:groupChrPr>
                <m:chr m:val="→"/>
                <m:pos m:val="top"/>
                <m:ctrlPr>
                  <w:rPr>
                    <w:rFonts w:ascii="Cambria Math" w:hAnsi="Cambria Math"/>
                    <w:i/>
                  </w:rPr>
                </m:ctrlPr>
              </m:groupChrPr>
              <m:e/>
            </m:groupChr>
          </m:e>
        </m:box>
        <m:r>
          <w:rPr>
            <w:rFonts w:ascii="Cambria Math" w:hAnsi="Cambria Math"/>
          </w:rPr>
          <m:t xml:space="preserve"> 2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 xml:space="preserve">  (l)</m:t>
            </m:r>
          </m:sub>
        </m:sSub>
      </m:oMath>
    </w:p>
    <w:p w:rsidR="00C33780" w:rsidRPr="00C33780" w:rsidRDefault="00C33780" w:rsidP="00C33780">
      <w:pPr>
        <w:tabs>
          <w:tab w:val="left" w:pos="1701"/>
          <w:tab w:val="left" w:pos="1985"/>
        </w:tabs>
        <w:ind w:left="2124" w:hanging="2124"/>
        <w:rPr>
          <w:rFonts w:eastAsiaTheme="minorEastAsia"/>
        </w:rPr>
      </w:pPr>
      <w:r w:rsidRPr="00C33780">
        <w:rPr>
          <w:rFonts w:eastAsiaTheme="minorEastAsia"/>
        </w:rPr>
        <w:tab/>
      </w:r>
      <w:r w:rsidRPr="00C33780">
        <w:rPr>
          <w:rFonts w:eastAsiaTheme="minorEastAsia"/>
        </w:rPr>
        <w:tab/>
      </w:r>
      <w:r w:rsidRPr="00C33780">
        <w:rPr>
          <w:rFonts w:eastAsiaTheme="minorEastAsia"/>
        </w:rPr>
        <w:tab/>
        <w:t>Diese verläuft exotherm und explosionsartig.</w:t>
      </w:r>
    </w:p>
    <w:p w:rsidR="00C33780" w:rsidRPr="00C33780" w:rsidRDefault="00C33780" w:rsidP="00C33780">
      <w:pPr>
        <w:spacing w:line="276" w:lineRule="auto"/>
        <w:jc w:val="left"/>
      </w:pPr>
      <w:r w:rsidRPr="00C33780">
        <w:t>Entsorgung:</w:t>
      </w:r>
      <w:r w:rsidRPr="00C33780">
        <w:tab/>
        <w:t xml:space="preserve">           </w:t>
      </w:r>
      <w:r w:rsidRPr="00C33780">
        <w:tab/>
        <w:t xml:space="preserve">Es ist keine Entsorgung von Chemikalien erforderlich. </w:t>
      </w:r>
    </w:p>
    <w:p w:rsidR="00C33780" w:rsidRPr="00C33780" w:rsidRDefault="00C33780" w:rsidP="00C33780">
      <w:pPr>
        <w:spacing w:line="276" w:lineRule="auto"/>
        <w:ind w:left="2124" w:hanging="2124"/>
        <w:jc w:val="left"/>
        <w:rPr>
          <w:rFonts w:eastAsiaTheme="majorEastAsia" w:cstheme="majorBidi"/>
          <w:bCs/>
        </w:rPr>
      </w:pPr>
      <w:r w:rsidRPr="00C33780">
        <w:t>Literatur:</w:t>
      </w:r>
      <w:r w:rsidRPr="00C33780">
        <w:tab/>
        <w:t xml:space="preserve">[1] </w:t>
      </w:r>
      <w:r w:rsidRPr="00C33780">
        <w:rPr>
          <w:rStyle w:val="Hervorhebung"/>
          <w:rFonts w:cs="Helvetica"/>
        </w:rPr>
        <w:t>http://www.chemieunterricht.de/dc2/tip/04_12.htm (zuletzt aufgerufen am 04.08.2015).</w:t>
      </w:r>
    </w:p>
    <w:p w:rsidR="00C8234D" w:rsidRPr="00C33780" w:rsidRDefault="00C8234D">
      <w:bookmarkStart w:id="2" w:name="_GoBack"/>
      <w:bookmarkEnd w:id="2"/>
    </w:p>
    <w:sectPr w:rsidR="00C8234D" w:rsidRPr="00C337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80"/>
    <w:rsid w:val="00C33780"/>
    <w:rsid w:val="00C82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70008-76BC-4E93-B4CA-120ADD68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3780"/>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C3378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3378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3378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33780"/>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C33780"/>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C33780"/>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C3378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3378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3378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3780"/>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C33780"/>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C33780"/>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C33780"/>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C33780"/>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C33780"/>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C3378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3378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3378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nhideWhenUsed/>
    <w:qFormat/>
    <w:rsid w:val="00C33780"/>
    <w:pPr>
      <w:spacing w:line="240" w:lineRule="auto"/>
    </w:pPr>
    <w:rPr>
      <w:bCs/>
      <w:color w:val="auto"/>
      <w:sz w:val="18"/>
      <w:szCs w:val="18"/>
    </w:rPr>
  </w:style>
  <w:style w:type="character" w:styleId="Hervorhebung">
    <w:name w:val="Emphasis"/>
    <w:basedOn w:val="Absatz-Standardschriftart"/>
    <w:uiPriority w:val="20"/>
    <w:qFormat/>
    <w:rsid w:val="00C337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1273</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dc:creator>
  <cp:keywords/>
  <dc:description/>
  <cp:lastModifiedBy>Holle</cp:lastModifiedBy>
  <cp:revision>1</cp:revision>
  <dcterms:created xsi:type="dcterms:W3CDTF">2015-08-24T10:36:00Z</dcterms:created>
  <dcterms:modified xsi:type="dcterms:W3CDTF">2015-08-24T10:39:00Z</dcterms:modified>
</cp:coreProperties>
</file>