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26590728"/>
    <w:bookmarkStart w:id="1" w:name="_GoBack"/>
    <w:bookmarkEnd w:id="1"/>
    <w:p w:rsidR="00C41275" w:rsidRDefault="00C41275" w:rsidP="00C41275">
      <w:pPr>
        <w:pStyle w:val="berschrift1"/>
        <w:numPr>
          <w:ilvl w:val="0"/>
          <w:numId w:val="0"/>
        </w:numPr>
        <w:ind w:left="432" w:hanging="432"/>
      </w:pPr>
      <w:r>
        <w:rPr>
          <w:noProof/>
          <w:lang w:eastAsia="de-DE"/>
        </w:rPr>
        <mc:AlternateContent>
          <mc:Choice Requires="wps">
            <w:drawing>
              <wp:anchor distT="0" distB="0" distL="114300" distR="114300" simplePos="0" relativeHeight="251659264" behindDoc="0" locked="0" layoutInCell="1" allowOverlap="1" wp14:anchorId="08B2DAD3" wp14:editId="50818A6C">
                <wp:simplePos x="0" y="0"/>
                <wp:positionH relativeFrom="column">
                  <wp:posOffset>-635</wp:posOffset>
                </wp:positionH>
                <wp:positionV relativeFrom="paragraph">
                  <wp:posOffset>563245</wp:posOffset>
                </wp:positionV>
                <wp:extent cx="5873115" cy="3247390"/>
                <wp:effectExtent l="0" t="0" r="13335" b="10160"/>
                <wp:wrapTopAndBottom/>
                <wp:docPr id="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324739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275" w:rsidRDefault="00C41275" w:rsidP="00C41275">
                            <w:pPr>
                              <w:rPr>
                                <w:color w:val="auto"/>
                              </w:rPr>
                            </w:pPr>
                            <w:r>
                              <w:rPr>
                                <w:color w:val="auto"/>
                              </w:rPr>
                              <w:t>SuS haben oft die Vorstellung, dass umgewandelte, als Licht oder Wärme beobachtbare Ene</w:t>
                            </w:r>
                            <w:r>
                              <w:rPr>
                                <w:color w:val="auto"/>
                              </w:rPr>
                              <w:t>r</w:t>
                            </w:r>
                            <w:r>
                              <w:rPr>
                                <w:color w:val="auto"/>
                              </w:rPr>
                              <w:t>gie, eine (im Sinne Einsteins messbare) Masse besitzt und diese bei exothermen Reaktionen dem System verloren geht. Der folgende Versuch greift diese SchülerInnenvorstellung auf und zeigt durch einfaches Wiegen, dass ein abgeschlossenes System, aus dem Energie aber keine Stoffe entweichen können, vor und nach der Reaktion die gleiche Masse aufweisen.</w:t>
                            </w:r>
                          </w:p>
                          <w:p w:rsidR="00C41275" w:rsidRDefault="00C41275" w:rsidP="00C41275">
                            <w:pPr>
                              <w:rPr>
                                <w:color w:val="auto"/>
                              </w:rPr>
                            </w:pPr>
                            <w:r>
                              <w:rPr>
                                <w:color w:val="auto"/>
                              </w:rPr>
                              <w:t>Der Versuch kann auch zum Aufzeigen des Gesetzes der Massenerhaltung bei chemischen R</w:t>
                            </w:r>
                            <w:r>
                              <w:rPr>
                                <w:color w:val="auto"/>
                              </w:rPr>
                              <w:t>e</w:t>
                            </w:r>
                            <w:r>
                              <w:rPr>
                                <w:color w:val="auto"/>
                              </w:rPr>
                              <w:t>aktionen verwendet werden. Um den gleichen Versuch nicht in beiden Kontexten zu verwe</w:t>
                            </w:r>
                            <w:r>
                              <w:rPr>
                                <w:color w:val="auto"/>
                              </w:rPr>
                              <w:t>n</w:t>
                            </w:r>
                            <w:r>
                              <w:rPr>
                                <w:color w:val="auto"/>
                              </w:rPr>
                              <w:t>den empfiehlt sich zum Thema der Massenerhaltung auch aus didaktischer Sicht eher der Boyle-Versuch (Kohle wird zu einem unsichtbaren Gas umgesetzt, jedoch bleibt die Masse ko</w:t>
                            </w:r>
                            <w:r>
                              <w:rPr>
                                <w:color w:val="auto"/>
                              </w:rPr>
                              <w:t>n</w:t>
                            </w:r>
                            <w:r>
                              <w:rPr>
                                <w:color w:val="auto"/>
                              </w:rPr>
                              <w:t>stant).</w:t>
                            </w:r>
                          </w:p>
                          <w:p w:rsidR="00C41275" w:rsidRPr="00F31EBF" w:rsidRDefault="00C41275" w:rsidP="00C41275">
                            <w:pPr>
                              <w:rPr>
                                <w:color w:val="auto"/>
                              </w:rPr>
                            </w:pPr>
                            <w:r>
                              <w:rPr>
                                <w:color w:val="auto"/>
                              </w:rPr>
                              <w:t>Bei diesem Versuch entsteht konzentrierter u.a. schwefeldioxidhaltiger „Streichholzrauch“. Durch die abgeschlossene Anordnung kann der Versuch ohne Abzug durchgeführt werden. Das anschließende Öffnen der Reagenzgläser sollte aber stets im Abzug erfolgen.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8B2DAD3" id="_x0000_t202" coordsize="21600,21600" o:spt="202" path="m,l,21600r21600,l21600,xe">
                <v:stroke joinstyle="miter"/>
                <v:path gradientshapeok="t" o:connecttype="rect"/>
              </v:shapetype>
              <v:shape id="Text Box 60" o:spid="_x0000_s1026" type="#_x0000_t202" style="position:absolute;left:0;text-align:left;margin-left:-.05pt;margin-top:44.35pt;width:462.45pt;height:25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" fillcolor="white [3201]" strokecolor="#4bacc6 [3208]" strokeweight="1pt">
                <v:stroke dashstyle="dash"/>
                <v:shadow color="#868686"/>
                <v:textbox>
                  <w:txbxContent>
                    <w:p w:rsidR="00C41275" w:rsidRDefault="00C41275" w:rsidP="00C41275">
                      <w:pPr>
                        <w:rPr>
                          <w:color w:val="auto"/>
                        </w:rPr>
                      </w:pPr>
                      <w:r>
                        <w:rPr>
                          <w:color w:val="auto"/>
                        </w:rPr>
                        <w:t>SuS haben oft die Vorstellung, dass umgewandelte, als Licht oder Wärme beobachtbare Energie, eine (im Sinne Einsteins messbare) Masse besitzt und diese bei exothermen Reaktionen dem System verloren geht. Der folgende Versuch greift diese SchülerInnenvorstellung auf und zeigt durch einfaches Wiegen, dass ein abgeschlossenes System, aus dem Energie aber keine Stoffe entweichen können, vor und nach der Reaktion die gleiche Masse aufweisen.</w:t>
                      </w:r>
                    </w:p>
                    <w:p w:rsidR="00C41275" w:rsidRDefault="00C41275" w:rsidP="00C41275">
                      <w:pPr>
                        <w:rPr>
                          <w:color w:val="auto"/>
                        </w:rPr>
                      </w:pPr>
                      <w:r>
                        <w:rPr>
                          <w:color w:val="auto"/>
                        </w:rPr>
                        <w:t>Der Versuch kann auch zum Aufzeigen des Gesetzes der Massenerhaltung bei chemischen Reaktionen verwendet werden. Um den gleichen Versuch nicht in beiden Kontexten zu verwenden empfiehlt sich zum Thema der Massenerhaltung auch aus didaktischer Sicht eher der Boyle-Versuch (Kohle wird zu einem unsichtbaren Gas umgesetzt, jedoch bleibt die Masse konstant).</w:t>
                      </w:r>
                    </w:p>
                    <w:p w:rsidR="00C41275" w:rsidRPr="00F31EBF" w:rsidRDefault="00C41275" w:rsidP="00C41275">
                      <w:pPr>
                        <w:rPr>
                          <w:color w:val="auto"/>
                        </w:rPr>
                      </w:pPr>
                      <w:r>
                        <w:rPr>
                          <w:color w:val="auto"/>
                        </w:rPr>
                        <w:t>Bei diesem Versuch entsteht konzentrierter u.a. schwefeldioxidhaltiger „Streichholzrauch“. Durch die abgeschlossene Anordnung kann der Versuch ohne Abzug durchgeführt werden. Das anschließende Öffnen der Reagenzgläser sollte aber stets im Abzug erfolgen.</w:t>
                      </w:r>
                    </w:p>
                  </w:txbxContent>
                </v:textbox>
                <w10:wrap type="topAndBottom"/>
              </v:shape>
            </w:pict>
          </mc:Fallback>
        </mc:AlternateContent>
      </w:r>
      <w:r>
        <w:t>Schülerversuch – V2 Wie viel wiegt Energie?</w:t>
      </w:r>
      <w:bookmarkEnd w:id="0"/>
    </w:p>
    <w:p w:rsidR="00C41275" w:rsidRPr="00D01525" w:rsidRDefault="00C41275" w:rsidP="00C41275">
      <w:pPr>
        <w:tabs>
          <w:tab w:val="left" w:pos="2028"/>
        </w:tabs>
        <w:rPr>
          <w:sz w:val="6"/>
        </w:rPr>
      </w:pPr>
      <w:r w:rsidRPr="00D01525">
        <w:rPr>
          <w:sz w:val="6"/>
        </w:rPr>
        <w:tab/>
      </w:r>
    </w:p>
    <w:p w:rsidR="00C41275" w:rsidRPr="00EE34D9" w:rsidRDefault="00C41275" w:rsidP="00C41275">
      <w:pPr>
        <w:spacing w:line="240" w:lineRule="auto"/>
        <w:rPr>
          <w:sz w:val="6"/>
        </w:rPr>
      </w:pPr>
    </w:p>
    <w:p w:rsidR="00C41275" w:rsidRDefault="00C41275" w:rsidP="00C41275">
      <w:pPr>
        <w:tabs>
          <w:tab w:val="left" w:pos="1701"/>
          <w:tab w:val="left" w:pos="1985"/>
        </w:tabs>
        <w:ind w:left="1980" w:hanging="1980"/>
      </w:pPr>
      <w:r>
        <w:t xml:space="preserve">Materialien: </w:t>
      </w:r>
      <w:r>
        <w:tab/>
      </w:r>
      <w:r>
        <w:tab/>
        <w:t>Reagenzglas, Luftballon, Streichhölzer, Gasbrenner, Holzklammer</w:t>
      </w:r>
    </w:p>
    <w:p w:rsidR="00C41275" w:rsidRPr="00ED07C2" w:rsidRDefault="00C41275" w:rsidP="00C41275">
      <w:pPr>
        <w:tabs>
          <w:tab w:val="left" w:pos="1701"/>
          <w:tab w:val="left" w:pos="1985"/>
        </w:tabs>
        <w:ind w:left="1980" w:hanging="1980"/>
      </w:pPr>
      <w:r>
        <w:t>Chemikalien:</w:t>
      </w:r>
      <w:r>
        <w:tab/>
      </w:r>
      <w:r>
        <w:tab/>
        <w:t>Streichholzköpfchen</w:t>
      </w:r>
    </w:p>
    <w:p w:rsidR="00C41275" w:rsidRDefault="00C41275" w:rsidP="00C41275">
      <w:pPr>
        <w:tabs>
          <w:tab w:val="left" w:pos="1701"/>
          <w:tab w:val="left" w:pos="1985"/>
        </w:tabs>
        <w:ind w:left="1980" w:hanging="1980"/>
      </w:pPr>
      <w:r>
        <w:t xml:space="preserve">Durchführung: </w:t>
      </w:r>
      <w:r>
        <w:tab/>
      </w:r>
      <w:r>
        <w:tab/>
      </w:r>
      <w:r>
        <w:tab/>
        <w:t>In ein Reagenzglas werden fünf Streichholzköpfchen gegeben und das Re</w:t>
      </w:r>
      <w:r>
        <w:t>a</w:t>
      </w:r>
      <w:r>
        <w:t>genzglas mit einem Luftballon verschlossen. Die Apparatur wird gewogen. Über dem Gasbrenner werden die Streichholzköpfchen zur Zündung g</w:t>
      </w:r>
      <w:r>
        <w:t>e</w:t>
      </w:r>
      <w:r>
        <w:t>bracht. Die Apparatur wird nach dem Abkühlen erneut gewogen.</w:t>
      </w:r>
    </w:p>
    <w:p w:rsidR="00C41275" w:rsidRDefault="00C41275" w:rsidP="00C41275">
      <w:pPr>
        <w:tabs>
          <w:tab w:val="left" w:pos="1701"/>
          <w:tab w:val="left" w:pos="1985"/>
        </w:tabs>
        <w:ind w:left="1980" w:hanging="1980"/>
      </w:pPr>
      <w:r>
        <w:t>Beobachtung:</w:t>
      </w:r>
      <w:r>
        <w:tab/>
      </w:r>
      <w:r>
        <w:tab/>
      </w:r>
      <w:r>
        <w:tab/>
        <w:t>Die Zündung der Streichholzköpfchen erfolgt unter kurzen Aufflammen und Gasentwicklung, die den Luftballon aufbläht. Das Gewicht des ve</w:t>
      </w:r>
      <w:r>
        <w:t>r</w:t>
      </w:r>
      <w:r>
        <w:t>schlossenen Reagenzglases ist vor und nach der Reaktion gleich.</w:t>
      </w:r>
    </w:p>
    <w:p w:rsidR="00C41275" w:rsidRDefault="00C41275" w:rsidP="00C41275">
      <w:pPr>
        <w:keepNext/>
        <w:jc w:val="center"/>
      </w:pPr>
      <w:r>
        <w:rPr>
          <w:noProof/>
          <w:lang w:eastAsia="de-DE"/>
        </w:rPr>
        <w:lastRenderedPageBreak/>
        <w:drawing>
          <wp:inline distT="0" distB="0" distL="0" distR="0" wp14:anchorId="5A231EF5" wp14:editId="106792B8">
            <wp:extent cx="1620098" cy="2880000"/>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14388097140731.jpg"/>
                    <pic:cNvPicPr/>
                  </pic:nvPicPr>
                  <pic:blipFill>
                    <a:blip r:embed="rId9">
                      <a:extLst>
                        <a:ext uri="{28A0092B-C50C-407E-A947-70E740481C1C}">
                          <a14:useLocalDpi xmlns:a14="http://schemas.microsoft.com/office/drawing/2010/main" val="0"/>
                        </a:ext>
                      </a:extLst>
                    </a:blip>
                    <a:stretch>
                      <a:fillRect/>
                    </a:stretch>
                  </pic:blipFill>
                  <pic:spPr>
                    <a:xfrm>
                      <a:off x="0" y="0"/>
                      <a:ext cx="1620098" cy="2880000"/>
                    </a:xfrm>
                    <a:prstGeom prst="rect">
                      <a:avLst/>
                    </a:prstGeom>
                  </pic:spPr>
                </pic:pic>
              </a:graphicData>
            </a:graphic>
          </wp:inline>
        </w:drawing>
      </w:r>
      <w:r>
        <w:t>   </w:t>
      </w:r>
      <w:r>
        <w:rPr>
          <w:noProof/>
          <w:lang w:eastAsia="de-DE"/>
        </w:rPr>
        <w:drawing>
          <wp:inline distT="0" distB="0" distL="0" distR="0" wp14:anchorId="70745E07" wp14:editId="3B4833CB">
            <wp:extent cx="1620098" cy="2880000"/>
            <wp:effectExtent l="0" t="0" r="0" b="0"/>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14388096951380.jpg"/>
                    <pic:cNvPicPr/>
                  </pic:nvPicPr>
                  <pic:blipFill>
                    <a:blip r:embed="rId10">
                      <a:extLst>
                        <a:ext uri="{28A0092B-C50C-407E-A947-70E740481C1C}">
                          <a14:useLocalDpi xmlns:a14="http://schemas.microsoft.com/office/drawing/2010/main" val="0"/>
                        </a:ext>
                      </a:extLst>
                    </a:blip>
                    <a:stretch>
                      <a:fillRect/>
                    </a:stretch>
                  </pic:blipFill>
                  <pic:spPr>
                    <a:xfrm>
                      <a:off x="0" y="0"/>
                      <a:ext cx="1620098" cy="2880000"/>
                    </a:xfrm>
                    <a:prstGeom prst="rect">
                      <a:avLst/>
                    </a:prstGeom>
                  </pic:spPr>
                </pic:pic>
              </a:graphicData>
            </a:graphic>
          </wp:inline>
        </w:drawing>
      </w:r>
    </w:p>
    <w:p w:rsidR="00C41275" w:rsidRDefault="00C41275" w:rsidP="00C41275">
      <w:pPr>
        <w:pStyle w:val="Beschriftung"/>
        <w:jc w:val="center"/>
      </w:pPr>
      <w:r>
        <w:t xml:space="preserve">Abb. </w:t>
      </w:r>
      <w:fldSimple w:instr=" SEQ Abb. \* ARABIC ">
        <w:r w:rsidR="00F14CEC">
          <w:rPr>
            <w:noProof/>
          </w:rPr>
          <w:t>1</w:t>
        </w:r>
      </w:fldSimple>
      <w:r>
        <w:t>: Die Massen sind vor und nach der Reaktion identisch.</w:t>
      </w:r>
    </w:p>
    <w:p w:rsidR="00C41275" w:rsidRDefault="00C41275" w:rsidP="00C41275">
      <w:pPr>
        <w:ind w:left="1985" w:hanging="1985"/>
      </w:pPr>
      <w:r>
        <w:t>Deutung:</w:t>
      </w:r>
      <w:r>
        <w:tab/>
        <w:t>Bei der Reaktion der Streichholzköpfchen mit Sauerstoff im Reagenzglas erfolgt eine Energieumwandlung von energiereichen Stoffen zu energieä</w:t>
      </w:r>
      <w:r>
        <w:t>r</w:t>
      </w:r>
      <w:r>
        <w:t>meren chemischen Stoffen. Die freigewordene Energie wird uns als Vol</w:t>
      </w:r>
      <w:r>
        <w:t>u</w:t>
      </w:r>
      <w:r>
        <w:t>menarbeit (Aufblähen des Luftballons), Wärmeentwicklung und Auffla</w:t>
      </w:r>
      <w:r>
        <w:t>m</w:t>
      </w:r>
      <w:r>
        <w:t>men (Lichtenergie) sichtbar, die aus dem Reagenzglas in die Umgebung entwichen können. Dennoch bleibt die Masse konstant, woraus folgt, dass die beteiligten Stoffe trotz Energieabgabe die gleiche Masse besitzen. Ene</w:t>
      </w:r>
      <w:r>
        <w:t>r</w:t>
      </w:r>
      <w:r>
        <w:t>gie hat im Labormaßstab keine messbare Masse.</w:t>
      </w:r>
    </w:p>
    <w:p w:rsidR="00C41275" w:rsidRPr="00C40B12" w:rsidRDefault="00C41275" w:rsidP="00C41275">
      <w:pPr>
        <w:ind w:left="1985" w:hanging="1985"/>
      </w:pPr>
      <w:r>
        <w:t>Quelle:</w:t>
      </w:r>
      <w:r>
        <w:tab/>
      </w:r>
      <w:r w:rsidRPr="00C40B12">
        <w:t>Barke, H. (2006). </w:t>
      </w:r>
      <w:r w:rsidRPr="00C40B12">
        <w:rPr>
          <w:i/>
          <w:iCs/>
        </w:rPr>
        <w:t xml:space="preserve">Chemiedidaktik: Diagnose und Korrektur von </w:t>
      </w:r>
      <w:proofErr w:type="spellStart"/>
      <w:r w:rsidRPr="00C40B12">
        <w:rPr>
          <w:i/>
          <w:iCs/>
        </w:rPr>
        <w:t>Schülervorstellungen</w:t>
      </w:r>
      <w:proofErr w:type="spellEnd"/>
      <w:r w:rsidRPr="00C40B12">
        <w:t xml:space="preserve">. S. 291 – 319. Berlin: </w:t>
      </w:r>
      <w:r w:rsidRPr="00C40B12">
        <w:tab/>
        <w:t>Springer.</w:t>
      </w:r>
    </w:p>
    <w:p w:rsidR="00C41275" w:rsidRDefault="00C41275" w:rsidP="00C41275">
      <w:pPr>
        <w:ind w:left="1985" w:hanging="1985"/>
      </w:pPr>
    </w:p>
    <w:p w:rsidR="00C41275" w:rsidRPr="006E32AF" w:rsidRDefault="00C41275" w:rsidP="00C41275">
      <w:pPr>
        <w:ind w:left="1985" w:hanging="1985"/>
        <w:rPr>
          <w:rFonts w:eastAsiaTheme="minorEastAsia"/>
        </w:rPr>
      </w:pPr>
      <w:r>
        <w:rPr>
          <w:noProof/>
          <w:lang w:eastAsia="de-DE"/>
        </w:rPr>
        <mc:AlternateContent>
          <mc:Choice Requires="wps">
            <w:drawing>
              <wp:inline distT="0" distB="0" distL="0" distR="0" wp14:anchorId="5BF7D952" wp14:editId="4E59122E">
                <wp:extent cx="5873115" cy="1887321"/>
                <wp:effectExtent l="0" t="0" r="13335" b="17780"/>
                <wp:docPr id="23"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887321"/>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41275" w:rsidRDefault="00C41275" w:rsidP="00C41275">
                            <w:pPr>
                              <w:rPr>
                                <w:b/>
                                <w:color w:val="auto"/>
                              </w:rPr>
                            </w:pPr>
                            <w:r>
                              <w:rPr>
                                <w:b/>
                                <w:color w:val="auto"/>
                              </w:rPr>
                              <w:t>Unterrichtsanschlüsse</w:t>
                            </w:r>
                          </w:p>
                          <w:p w:rsidR="00C41275" w:rsidRDefault="00C41275" w:rsidP="00C41275">
                            <w:pPr>
                              <w:rPr>
                                <w:color w:val="auto"/>
                              </w:rPr>
                            </w:pPr>
                            <w:r>
                              <w:rPr>
                                <w:color w:val="auto"/>
                              </w:rPr>
                              <w:t>Bei diesem Versuch kann nochmal das Gesetz der Massenerhaltung aufgegriffen werden und deutlich gemacht werden, dass dieses Gesetz auch bei Energieabgabe in die Umgebung seine Gültigkeit behält.</w:t>
                            </w:r>
                          </w:p>
                          <w:p w:rsidR="00C41275" w:rsidRPr="00F31EBF" w:rsidRDefault="00C41275" w:rsidP="00C41275">
                            <w:pPr>
                              <w:rPr>
                                <w:color w:val="auto"/>
                              </w:rPr>
                            </w:pPr>
                            <w:r>
                              <w:rPr>
                                <w:color w:val="auto"/>
                              </w:rPr>
                              <w:t>Im weiteren Verlauf können andere Energieumwandlungen experimentell beschrieben werden und erneut auf den Sachverhalt aus diesem Experiment eingegangen werden.</w:t>
                            </w:r>
                          </w:p>
                        </w:txbxContent>
                      </wps:txbx>
                      <wps:bodyPr rot="0" vert="horz" wrap="square" lIns="91440" tIns="45720" rIns="91440" bIns="45720" anchor="t" anchorCtr="0" upright="1">
                        <a:noAutofit/>
                      </wps:bodyPr>
                    </wps:wsp>
                  </a:graphicData>
                </a:graphic>
              </wp:inline>
            </w:drawing>
          </mc:Choice>
          <mc:Fallback xmlns:w15="http://schemas.microsoft.com/office/word/2012/wordml">
            <w:pict>
              <v:shape w14:anchorId="5BF7D952" id="Text Box 131" o:spid="_x0000_s1027" type="#_x0000_t202" style="width:462.45pt;height:148.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" fillcolor="white [3201]" strokecolor="#c0504d [3205]" strokeweight="1pt">
                <v:stroke dashstyle="dash"/>
                <v:shadow color="#868686"/>
                <v:textbox>
                  <w:txbxContent>
                    <w:p w:rsidR="00C41275" w:rsidRDefault="00C41275" w:rsidP="00C41275">
                      <w:pPr>
                        <w:rPr>
                          <w:b/>
                          <w:color w:val="auto"/>
                        </w:rPr>
                      </w:pPr>
                      <w:r>
                        <w:rPr>
                          <w:b/>
                          <w:color w:val="auto"/>
                        </w:rPr>
                        <w:t>Unterrichtsanschlüsse</w:t>
                      </w:r>
                    </w:p>
                    <w:p w:rsidR="00C41275" w:rsidRDefault="00C41275" w:rsidP="00C41275">
                      <w:pPr>
                        <w:rPr>
                          <w:color w:val="auto"/>
                        </w:rPr>
                      </w:pPr>
                      <w:r>
                        <w:rPr>
                          <w:color w:val="auto"/>
                        </w:rPr>
                        <w:t>Bei diesem Versuch kann nochmal das Gesetz der Massenerhaltung aufgegriffen werden und deutlich gemacht werden, dass dieses Gesetz auch bei Energieabgabe in die Umgebung seine Gültigkeit behält.</w:t>
                      </w:r>
                    </w:p>
                    <w:p w:rsidR="00C41275" w:rsidRPr="00F31EBF" w:rsidRDefault="00C41275" w:rsidP="00C41275">
                      <w:pPr>
                        <w:rPr>
                          <w:color w:val="auto"/>
                        </w:rPr>
                      </w:pPr>
                      <w:r>
                        <w:rPr>
                          <w:color w:val="auto"/>
                        </w:rPr>
                        <w:t>Im weiteren Verlauf können andere Energieumwandlungen experimentell beschrieben werden und erneut auf den Sachverhalt aus diesem Experiment eingegangen werden.</w:t>
                      </w:r>
                    </w:p>
                  </w:txbxContent>
                </v:textbox>
                <w10:anchorlock/>
              </v:shape>
            </w:pict>
          </mc:Fallback>
        </mc:AlternateContent>
      </w:r>
    </w:p>
    <w:p w:rsidR="00FF4963" w:rsidRPr="00C41275" w:rsidRDefault="00FF4963" w:rsidP="00C41275"/>
    <w:sectPr w:rsidR="00FF4963" w:rsidRPr="00C41275" w:rsidSect="00880D96">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709" w:left="141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71CA" w:rsidRDefault="009B71CA" w:rsidP="0086227B">
      <w:pPr>
        <w:spacing w:after="0" w:line="240" w:lineRule="auto"/>
      </w:pPr>
      <w:r>
        <w:separator/>
      </w:r>
    </w:p>
  </w:endnote>
  <w:endnote w:type="continuationSeparator" w:id="0">
    <w:p w:rsidR="009B71CA" w:rsidRDefault="009B71CA" w:rsidP="00862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15" w:rsidRDefault="0006601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15" w:rsidRDefault="00066015">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15" w:rsidRDefault="0006601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71CA" w:rsidRDefault="009B71CA" w:rsidP="0086227B">
      <w:pPr>
        <w:spacing w:after="0" w:line="240" w:lineRule="auto"/>
      </w:pPr>
      <w:r>
        <w:separator/>
      </w:r>
    </w:p>
  </w:footnote>
  <w:footnote w:type="continuationSeparator" w:id="0">
    <w:p w:rsidR="009B71CA" w:rsidRDefault="009B71CA" w:rsidP="008622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15" w:rsidRDefault="0006601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34B" w:rsidRPr="00880D96" w:rsidRDefault="00B1334B" w:rsidP="00880D96">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015" w:rsidRDefault="0006601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1D23DDE"/>
    <w:multiLevelType w:val="hybridMultilevel"/>
    <w:tmpl w:val="64405CB2"/>
    <w:lvl w:ilvl="0" w:tplc="04070001">
      <w:start w:val="1"/>
      <w:numFmt w:val="bullet"/>
      <w:lvlText w:val=""/>
      <w:lvlJc w:val="left"/>
      <w:pPr>
        <w:ind w:left="2703" w:hanging="360"/>
      </w:pPr>
      <w:rPr>
        <w:rFonts w:ascii="Symbol" w:hAnsi="Symbol" w:hint="default"/>
      </w:rPr>
    </w:lvl>
    <w:lvl w:ilvl="1" w:tplc="04070003" w:tentative="1">
      <w:start w:val="1"/>
      <w:numFmt w:val="bullet"/>
      <w:lvlText w:val="o"/>
      <w:lvlJc w:val="left"/>
      <w:pPr>
        <w:ind w:left="3423" w:hanging="360"/>
      </w:pPr>
      <w:rPr>
        <w:rFonts w:ascii="Courier New" w:hAnsi="Courier New" w:cs="Courier New" w:hint="default"/>
      </w:rPr>
    </w:lvl>
    <w:lvl w:ilvl="2" w:tplc="04070005" w:tentative="1">
      <w:start w:val="1"/>
      <w:numFmt w:val="bullet"/>
      <w:lvlText w:val=""/>
      <w:lvlJc w:val="left"/>
      <w:pPr>
        <w:ind w:left="4143" w:hanging="360"/>
      </w:pPr>
      <w:rPr>
        <w:rFonts w:ascii="Wingdings" w:hAnsi="Wingdings" w:hint="default"/>
      </w:rPr>
    </w:lvl>
    <w:lvl w:ilvl="3" w:tplc="04070001" w:tentative="1">
      <w:start w:val="1"/>
      <w:numFmt w:val="bullet"/>
      <w:lvlText w:val=""/>
      <w:lvlJc w:val="left"/>
      <w:pPr>
        <w:ind w:left="4863" w:hanging="360"/>
      </w:pPr>
      <w:rPr>
        <w:rFonts w:ascii="Symbol" w:hAnsi="Symbol" w:hint="default"/>
      </w:rPr>
    </w:lvl>
    <w:lvl w:ilvl="4" w:tplc="04070003" w:tentative="1">
      <w:start w:val="1"/>
      <w:numFmt w:val="bullet"/>
      <w:lvlText w:val="o"/>
      <w:lvlJc w:val="left"/>
      <w:pPr>
        <w:ind w:left="5583" w:hanging="360"/>
      </w:pPr>
      <w:rPr>
        <w:rFonts w:ascii="Courier New" w:hAnsi="Courier New" w:cs="Courier New" w:hint="default"/>
      </w:rPr>
    </w:lvl>
    <w:lvl w:ilvl="5" w:tplc="04070005" w:tentative="1">
      <w:start w:val="1"/>
      <w:numFmt w:val="bullet"/>
      <w:lvlText w:val=""/>
      <w:lvlJc w:val="left"/>
      <w:pPr>
        <w:ind w:left="6303" w:hanging="360"/>
      </w:pPr>
      <w:rPr>
        <w:rFonts w:ascii="Wingdings" w:hAnsi="Wingdings" w:hint="default"/>
      </w:rPr>
    </w:lvl>
    <w:lvl w:ilvl="6" w:tplc="04070001" w:tentative="1">
      <w:start w:val="1"/>
      <w:numFmt w:val="bullet"/>
      <w:lvlText w:val=""/>
      <w:lvlJc w:val="left"/>
      <w:pPr>
        <w:ind w:left="7023" w:hanging="360"/>
      </w:pPr>
      <w:rPr>
        <w:rFonts w:ascii="Symbol" w:hAnsi="Symbol" w:hint="default"/>
      </w:rPr>
    </w:lvl>
    <w:lvl w:ilvl="7" w:tplc="04070003" w:tentative="1">
      <w:start w:val="1"/>
      <w:numFmt w:val="bullet"/>
      <w:lvlText w:val="o"/>
      <w:lvlJc w:val="left"/>
      <w:pPr>
        <w:ind w:left="7743" w:hanging="360"/>
      </w:pPr>
      <w:rPr>
        <w:rFonts w:ascii="Courier New" w:hAnsi="Courier New" w:cs="Courier New" w:hint="default"/>
      </w:rPr>
    </w:lvl>
    <w:lvl w:ilvl="8" w:tplc="04070005" w:tentative="1">
      <w:start w:val="1"/>
      <w:numFmt w:val="bullet"/>
      <w:lvlText w:val=""/>
      <w:lvlJc w:val="left"/>
      <w:pPr>
        <w:ind w:left="8463" w:hanging="360"/>
      </w:pPr>
      <w:rPr>
        <w:rFonts w:ascii="Wingdings" w:hAnsi="Wingdings" w:hint="default"/>
      </w:rPr>
    </w:lvl>
  </w:abstractNum>
  <w:abstractNum w:abstractNumId="5">
    <w:nsid w:val="2FAF04B6"/>
    <w:multiLevelType w:val="hybridMultilevel"/>
    <w:tmpl w:val="1DA6E8D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1844F23"/>
    <w:multiLevelType w:val="hybridMultilevel"/>
    <w:tmpl w:val="52563BBE"/>
    <w:lvl w:ilvl="0" w:tplc="47586E54">
      <w:start w:val="1"/>
      <w:numFmt w:val="bullet"/>
      <w:lvlText w:val="-"/>
      <w:lvlJc w:val="left"/>
      <w:pPr>
        <w:tabs>
          <w:tab w:val="num" w:pos="720"/>
        </w:tabs>
        <w:ind w:left="720" w:hanging="360"/>
      </w:pPr>
      <w:rPr>
        <w:rFonts w:ascii="Calibri" w:hAnsi="Calibri" w:hint="default"/>
      </w:rPr>
    </w:lvl>
    <w:lvl w:ilvl="1" w:tplc="232A57F0">
      <w:start w:val="1"/>
      <w:numFmt w:val="bullet"/>
      <w:lvlText w:val="-"/>
      <w:lvlJc w:val="left"/>
      <w:pPr>
        <w:tabs>
          <w:tab w:val="num" w:pos="1440"/>
        </w:tabs>
        <w:ind w:left="1440" w:hanging="360"/>
      </w:pPr>
      <w:rPr>
        <w:rFonts w:ascii="Calibri" w:hAnsi="Calibri" w:hint="default"/>
      </w:rPr>
    </w:lvl>
    <w:lvl w:ilvl="2" w:tplc="229C0C3C" w:tentative="1">
      <w:start w:val="1"/>
      <w:numFmt w:val="bullet"/>
      <w:lvlText w:val="-"/>
      <w:lvlJc w:val="left"/>
      <w:pPr>
        <w:tabs>
          <w:tab w:val="num" w:pos="2160"/>
        </w:tabs>
        <w:ind w:left="2160" w:hanging="360"/>
      </w:pPr>
      <w:rPr>
        <w:rFonts w:ascii="Calibri" w:hAnsi="Calibri" w:hint="default"/>
      </w:rPr>
    </w:lvl>
    <w:lvl w:ilvl="3" w:tplc="C0DA1EF6" w:tentative="1">
      <w:start w:val="1"/>
      <w:numFmt w:val="bullet"/>
      <w:lvlText w:val="-"/>
      <w:lvlJc w:val="left"/>
      <w:pPr>
        <w:tabs>
          <w:tab w:val="num" w:pos="2880"/>
        </w:tabs>
        <w:ind w:left="2880" w:hanging="360"/>
      </w:pPr>
      <w:rPr>
        <w:rFonts w:ascii="Calibri" w:hAnsi="Calibri" w:hint="default"/>
      </w:rPr>
    </w:lvl>
    <w:lvl w:ilvl="4" w:tplc="125A49B8" w:tentative="1">
      <w:start w:val="1"/>
      <w:numFmt w:val="bullet"/>
      <w:lvlText w:val="-"/>
      <w:lvlJc w:val="left"/>
      <w:pPr>
        <w:tabs>
          <w:tab w:val="num" w:pos="3600"/>
        </w:tabs>
        <w:ind w:left="3600" w:hanging="360"/>
      </w:pPr>
      <w:rPr>
        <w:rFonts w:ascii="Calibri" w:hAnsi="Calibri" w:hint="default"/>
      </w:rPr>
    </w:lvl>
    <w:lvl w:ilvl="5" w:tplc="6CCAE740" w:tentative="1">
      <w:start w:val="1"/>
      <w:numFmt w:val="bullet"/>
      <w:lvlText w:val="-"/>
      <w:lvlJc w:val="left"/>
      <w:pPr>
        <w:tabs>
          <w:tab w:val="num" w:pos="4320"/>
        </w:tabs>
        <w:ind w:left="4320" w:hanging="360"/>
      </w:pPr>
      <w:rPr>
        <w:rFonts w:ascii="Calibri" w:hAnsi="Calibri" w:hint="default"/>
      </w:rPr>
    </w:lvl>
    <w:lvl w:ilvl="6" w:tplc="2658662C" w:tentative="1">
      <w:start w:val="1"/>
      <w:numFmt w:val="bullet"/>
      <w:lvlText w:val="-"/>
      <w:lvlJc w:val="left"/>
      <w:pPr>
        <w:tabs>
          <w:tab w:val="num" w:pos="5040"/>
        </w:tabs>
        <w:ind w:left="5040" w:hanging="360"/>
      </w:pPr>
      <w:rPr>
        <w:rFonts w:ascii="Calibri" w:hAnsi="Calibri" w:hint="default"/>
      </w:rPr>
    </w:lvl>
    <w:lvl w:ilvl="7" w:tplc="2E609824" w:tentative="1">
      <w:start w:val="1"/>
      <w:numFmt w:val="bullet"/>
      <w:lvlText w:val="-"/>
      <w:lvlJc w:val="left"/>
      <w:pPr>
        <w:tabs>
          <w:tab w:val="num" w:pos="5760"/>
        </w:tabs>
        <w:ind w:left="5760" w:hanging="360"/>
      </w:pPr>
      <w:rPr>
        <w:rFonts w:ascii="Calibri" w:hAnsi="Calibri" w:hint="default"/>
      </w:rPr>
    </w:lvl>
    <w:lvl w:ilvl="8" w:tplc="079AE742" w:tentative="1">
      <w:start w:val="1"/>
      <w:numFmt w:val="bullet"/>
      <w:lvlText w:val="-"/>
      <w:lvlJc w:val="left"/>
      <w:pPr>
        <w:tabs>
          <w:tab w:val="num" w:pos="6480"/>
        </w:tabs>
        <w:ind w:left="6480" w:hanging="360"/>
      </w:pPr>
      <w:rPr>
        <w:rFonts w:ascii="Calibri" w:hAnsi="Calibri" w:hint="default"/>
      </w:rPr>
    </w:lvl>
  </w:abstractNum>
  <w:abstractNum w:abstractNumId="7">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7327C49"/>
    <w:multiLevelType w:val="hybridMultilevel"/>
    <w:tmpl w:val="220457D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nsid w:val="4E9279F3"/>
    <w:multiLevelType w:val="hybridMultilevel"/>
    <w:tmpl w:val="6DFA9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737F19D2"/>
    <w:multiLevelType w:val="hybridMultilevel"/>
    <w:tmpl w:val="967220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B27664D"/>
    <w:multiLevelType w:val="hybridMultilevel"/>
    <w:tmpl w:val="C61CD9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7CAC30D3"/>
    <w:multiLevelType w:val="hybridMultilevel"/>
    <w:tmpl w:val="7FFA25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1"/>
  </w:num>
  <w:num w:numId="2">
    <w:abstractNumId w:val="11"/>
  </w:num>
  <w:num w:numId="3">
    <w:abstractNumId w:val="11"/>
  </w:num>
  <w:num w:numId="4">
    <w:abstractNumId w:val="11"/>
  </w:num>
  <w:num w:numId="5">
    <w:abstractNumId w:val="11"/>
  </w:num>
  <w:num w:numId="6">
    <w:abstractNumId w:val="11"/>
  </w:num>
  <w:num w:numId="7">
    <w:abstractNumId w:val="11"/>
  </w:num>
  <w:num w:numId="8">
    <w:abstractNumId w:val="11"/>
  </w:num>
  <w:num w:numId="9">
    <w:abstractNumId w:val="11"/>
  </w:num>
  <w:num w:numId="10">
    <w:abstractNumId w:val="11"/>
  </w:num>
  <w:num w:numId="11">
    <w:abstractNumId w:val="7"/>
  </w:num>
  <w:num w:numId="12">
    <w:abstractNumId w:val="1"/>
  </w:num>
  <w:num w:numId="13">
    <w:abstractNumId w:val="9"/>
  </w:num>
  <w:num w:numId="14">
    <w:abstractNumId w:val="8"/>
  </w:num>
  <w:num w:numId="15">
    <w:abstractNumId w:val="13"/>
  </w:num>
  <w:num w:numId="16">
    <w:abstractNumId w:val="2"/>
  </w:num>
  <w:num w:numId="17">
    <w:abstractNumId w:val="15"/>
  </w:num>
  <w:num w:numId="18">
    <w:abstractNumId w:val="3"/>
  </w:num>
  <w:num w:numId="19">
    <w:abstractNumId w:val="0"/>
  </w:num>
  <w:num w:numId="20">
    <w:abstractNumId w:val="6"/>
  </w:num>
  <w:num w:numId="21">
    <w:abstractNumId w:val="17"/>
  </w:num>
  <w:num w:numId="22">
    <w:abstractNumId w:val="16"/>
  </w:num>
  <w:num w:numId="23">
    <w:abstractNumId w:val="4"/>
  </w:num>
  <w:num w:numId="24">
    <w:abstractNumId w:val="5"/>
  </w:num>
  <w:num w:numId="25">
    <w:abstractNumId w:val="12"/>
  </w:num>
  <w:num w:numId="26">
    <w:abstractNumId w:val="10"/>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27B"/>
    <w:rsid w:val="00001D5A"/>
    <w:rsid w:val="00007E3F"/>
    <w:rsid w:val="00011800"/>
    <w:rsid w:val="000137A3"/>
    <w:rsid w:val="00014E7D"/>
    <w:rsid w:val="00022871"/>
    <w:rsid w:val="000250A6"/>
    <w:rsid w:val="00041562"/>
    <w:rsid w:val="00047445"/>
    <w:rsid w:val="00056798"/>
    <w:rsid w:val="0006287D"/>
    <w:rsid w:val="00066015"/>
    <w:rsid w:val="0006684E"/>
    <w:rsid w:val="00066DE1"/>
    <w:rsid w:val="00067AEC"/>
    <w:rsid w:val="00072812"/>
    <w:rsid w:val="000735B9"/>
    <w:rsid w:val="00074A34"/>
    <w:rsid w:val="0007729E"/>
    <w:rsid w:val="000861DC"/>
    <w:rsid w:val="00086266"/>
    <w:rsid w:val="000972FF"/>
    <w:rsid w:val="000A7812"/>
    <w:rsid w:val="000C4EB4"/>
    <w:rsid w:val="000D10FB"/>
    <w:rsid w:val="000D2C37"/>
    <w:rsid w:val="000D7381"/>
    <w:rsid w:val="000E0EBE"/>
    <w:rsid w:val="000E21A7"/>
    <w:rsid w:val="000E7DB1"/>
    <w:rsid w:val="000F5EEC"/>
    <w:rsid w:val="000F61BA"/>
    <w:rsid w:val="001022B4"/>
    <w:rsid w:val="0012481E"/>
    <w:rsid w:val="00125CEA"/>
    <w:rsid w:val="00132AD5"/>
    <w:rsid w:val="0013621E"/>
    <w:rsid w:val="00143FD1"/>
    <w:rsid w:val="00153EA8"/>
    <w:rsid w:val="00157F3D"/>
    <w:rsid w:val="00171731"/>
    <w:rsid w:val="00173EE7"/>
    <w:rsid w:val="00195635"/>
    <w:rsid w:val="001A7524"/>
    <w:rsid w:val="001B46E0"/>
    <w:rsid w:val="001C206A"/>
    <w:rsid w:val="001C5EFC"/>
    <w:rsid w:val="001D26BD"/>
    <w:rsid w:val="001E43E5"/>
    <w:rsid w:val="001E7A33"/>
    <w:rsid w:val="00206D6B"/>
    <w:rsid w:val="00216E3C"/>
    <w:rsid w:val="0023241F"/>
    <w:rsid w:val="002347FE"/>
    <w:rsid w:val="002375EF"/>
    <w:rsid w:val="00254598"/>
    <w:rsid w:val="00254F3F"/>
    <w:rsid w:val="00270289"/>
    <w:rsid w:val="0027504D"/>
    <w:rsid w:val="0028080E"/>
    <w:rsid w:val="0028646F"/>
    <w:rsid w:val="002944CF"/>
    <w:rsid w:val="002A716F"/>
    <w:rsid w:val="002A7855"/>
    <w:rsid w:val="002B0B14"/>
    <w:rsid w:val="002E0F34"/>
    <w:rsid w:val="002E2DD3"/>
    <w:rsid w:val="002E38A0"/>
    <w:rsid w:val="002E5491"/>
    <w:rsid w:val="002E5FCC"/>
    <w:rsid w:val="002F25D2"/>
    <w:rsid w:val="002F38EE"/>
    <w:rsid w:val="00302BE5"/>
    <w:rsid w:val="003057C7"/>
    <w:rsid w:val="003155AA"/>
    <w:rsid w:val="00320877"/>
    <w:rsid w:val="00325336"/>
    <w:rsid w:val="00330482"/>
    <w:rsid w:val="0033677B"/>
    <w:rsid w:val="00336B3B"/>
    <w:rsid w:val="00337B69"/>
    <w:rsid w:val="00344BB7"/>
    <w:rsid w:val="00345293"/>
    <w:rsid w:val="00345F54"/>
    <w:rsid w:val="0038284A"/>
    <w:rsid w:val="003837C2"/>
    <w:rsid w:val="00384682"/>
    <w:rsid w:val="003A5858"/>
    <w:rsid w:val="003B49C6"/>
    <w:rsid w:val="003C5747"/>
    <w:rsid w:val="003D3F47"/>
    <w:rsid w:val="003D4810"/>
    <w:rsid w:val="003D529E"/>
    <w:rsid w:val="003E69AB"/>
    <w:rsid w:val="003F10F3"/>
    <w:rsid w:val="003F60C3"/>
    <w:rsid w:val="00401750"/>
    <w:rsid w:val="004102B8"/>
    <w:rsid w:val="0041341B"/>
    <w:rsid w:val="0041565C"/>
    <w:rsid w:val="00416558"/>
    <w:rsid w:val="004179C1"/>
    <w:rsid w:val="00422471"/>
    <w:rsid w:val="00434D4E"/>
    <w:rsid w:val="00434F30"/>
    <w:rsid w:val="00442EB1"/>
    <w:rsid w:val="004669F1"/>
    <w:rsid w:val="00486C9F"/>
    <w:rsid w:val="0049087A"/>
    <w:rsid w:val="004944F3"/>
    <w:rsid w:val="004B0CC6"/>
    <w:rsid w:val="004B200E"/>
    <w:rsid w:val="004B3E0E"/>
    <w:rsid w:val="004C64A6"/>
    <w:rsid w:val="004D2994"/>
    <w:rsid w:val="004D468F"/>
    <w:rsid w:val="004E3B4A"/>
    <w:rsid w:val="004F1A17"/>
    <w:rsid w:val="00503C6A"/>
    <w:rsid w:val="005115B1"/>
    <w:rsid w:val="00511B2E"/>
    <w:rsid w:val="005131C3"/>
    <w:rsid w:val="005228A9"/>
    <w:rsid w:val="005240FE"/>
    <w:rsid w:val="00526F69"/>
    <w:rsid w:val="00530637"/>
    <w:rsid w:val="00530A18"/>
    <w:rsid w:val="00532CD5"/>
    <w:rsid w:val="00537D90"/>
    <w:rsid w:val="00544922"/>
    <w:rsid w:val="005624F6"/>
    <w:rsid w:val="005650D4"/>
    <w:rsid w:val="005669B2"/>
    <w:rsid w:val="00567838"/>
    <w:rsid w:val="00573704"/>
    <w:rsid w:val="00574063"/>
    <w:rsid w:val="005745F8"/>
    <w:rsid w:val="0057596C"/>
    <w:rsid w:val="00580775"/>
    <w:rsid w:val="005812F9"/>
    <w:rsid w:val="00591B02"/>
    <w:rsid w:val="00595177"/>
    <w:rsid w:val="005978FA"/>
    <w:rsid w:val="005A2E89"/>
    <w:rsid w:val="005B1F71"/>
    <w:rsid w:val="005B23FC"/>
    <w:rsid w:val="005B60E3"/>
    <w:rsid w:val="005C0767"/>
    <w:rsid w:val="005C2F39"/>
    <w:rsid w:val="005E1939"/>
    <w:rsid w:val="005E3970"/>
    <w:rsid w:val="005F2176"/>
    <w:rsid w:val="005F3F29"/>
    <w:rsid w:val="006005BB"/>
    <w:rsid w:val="00601FF0"/>
    <w:rsid w:val="00611E65"/>
    <w:rsid w:val="00614957"/>
    <w:rsid w:val="00626874"/>
    <w:rsid w:val="00631F0F"/>
    <w:rsid w:val="00637239"/>
    <w:rsid w:val="00654117"/>
    <w:rsid w:val="00662833"/>
    <w:rsid w:val="00672281"/>
    <w:rsid w:val="00681739"/>
    <w:rsid w:val="00690534"/>
    <w:rsid w:val="006943C9"/>
    <w:rsid w:val="006968E6"/>
    <w:rsid w:val="006A0F35"/>
    <w:rsid w:val="006B3EC2"/>
    <w:rsid w:val="006C5B0D"/>
    <w:rsid w:val="006C7B24"/>
    <w:rsid w:val="006E32AF"/>
    <w:rsid w:val="006E451C"/>
    <w:rsid w:val="006E766A"/>
    <w:rsid w:val="006F4715"/>
    <w:rsid w:val="00707392"/>
    <w:rsid w:val="0072123D"/>
    <w:rsid w:val="007409BF"/>
    <w:rsid w:val="00745818"/>
    <w:rsid w:val="00746773"/>
    <w:rsid w:val="00775302"/>
    <w:rsid w:val="00775EEC"/>
    <w:rsid w:val="0078071E"/>
    <w:rsid w:val="00790D3B"/>
    <w:rsid w:val="0079162D"/>
    <w:rsid w:val="007A68A5"/>
    <w:rsid w:val="007A7FA8"/>
    <w:rsid w:val="007D45DB"/>
    <w:rsid w:val="007E586C"/>
    <w:rsid w:val="007E5BA6"/>
    <w:rsid w:val="007E7412"/>
    <w:rsid w:val="007F2348"/>
    <w:rsid w:val="00801678"/>
    <w:rsid w:val="008042F5"/>
    <w:rsid w:val="00815FB9"/>
    <w:rsid w:val="00821E83"/>
    <w:rsid w:val="0082230A"/>
    <w:rsid w:val="00823D23"/>
    <w:rsid w:val="00837114"/>
    <w:rsid w:val="0086227B"/>
    <w:rsid w:val="008664DF"/>
    <w:rsid w:val="00875E5B"/>
    <w:rsid w:val="00880D96"/>
    <w:rsid w:val="0088451A"/>
    <w:rsid w:val="00896D5A"/>
    <w:rsid w:val="008A5D98"/>
    <w:rsid w:val="008B5C95"/>
    <w:rsid w:val="008B7FD6"/>
    <w:rsid w:val="008C2D26"/>
    <w:rsid w:val="008C71EE"/>
    <w:rsid w:val="008D0ED6"/>
    <w:rsid w:val="008D67B2"/>
    <w:rsid w:val="008E12F8"/>
    <w:rsid w:val="008E1A25"/>
    <w:rsid w:val="008E345D"/>
    <w:rsid w:val="00905459"/>
    <w:rsid w:val="00913D97"/>
    <w:rsid w:val="00914C17"/>
    <w:rsid w:val="00936F75"/>
    <w:rsid w:val="0094350A"/>
    <w:rsid w:val="009452BF"/>
    <w:rsid w:val="00946F4E"/>
    <w:rsid w:val="00946F8B"/>
    <w:rsid w:val="00954DC8"/>
    <w:rsid w:val="00961647"/>
    <w:rsid w:val="00967AAC"/>
    <w:rsid w:val="00971E91"/>
    <w:rsid w:val="00972362"/>
    <w:rsid w:val="009735A3"/>
    <w:rsid w:val="00973F3F"/>
    <w:rsid w:val="009775D7"/>
    <w:rsid w:val="00977ED8"/>
    <w:rsid w:val="0098168E"/>
    <w:rsid w:val="00993407"/>
    <w:rsid w:val="00994634"/>
    <w:rsid w:val="00997354"/>
    <w:rsid w:val="009A3DA2"/>
    <w:rsid w:val="009A6C79"/>
    <w:rsid w:val="009B0D3F"/>
    <w:rsid w:val="009B71CA"/>
    <w:rsid w:val="009C32AC"/>
    <w:rsid w:val="009C6F21"/>
    <w:rsid w:val="009C7687"/>
    <w:rsid w:val="009D150C"/>
    <w:rsid w:val="009D4BD9"/>
    <w:rsid w:val="009F0667"/>
    <w:rsid w:val="009F096C"/>
    <w:rsid w:val="009F0CE9"/>
    <w:rsid w:val="009F5A39"/>
    <w:rsid w:val="009F61D4"/>
    <w:rsid w:val="00A006C3"/>
    <w:rsid w:val="00A012CE"/>
    <w:rsid w:val="00A0582F"/>
    <w:rsid w:val="00A05C2F"/>
    <w:rsid w:val="00A160F8"/>
    <w:rsid w:val="00A2136F"/>
    <w:rsid w:val="00A2301A"/>
    <w:rsid w:val="00A34A8B"/>
    <w:rsid w:val="00A5564F"/>
    <w:rsid w:val="00A61671"/>
    <w:rsid w:val="00A7439F"/>
    <w:rsid w:val="00A75F0A"/>
    <w:rsid w:val="00A778C9"/>
    <w:rsid w:val="00A90BD6"/>
    <w:rsid w:val="00A9233D"/>
    <w:rsid w:val="00A96F52"/>
    <w:rsid w:val="00AA604B"/>
    <w:rsid w:val="00AA612B"/>
    <w:rsid w:val="00AD0C24"/>
    <w:rsid w:val="00AD7D1F"/>
    <w:rsid w:val="00AE1230"/>
    <w:rsid w:val="00AF239F"/>
    <w:rsid w:val="00B02829"/>
    <w:rsid w:val="00B04AEF"/>
    <w:rsid w:val="00B1334B"/>
    <w:rsid w:val="00B21F20"/>
    <w:rsid w:val="00B433C0"/>
    <w:rsid w:val="00B51643"/>
    <w:rsid w:val="00B51B39"/>
    <w:rsid w:val="00B571E6"/>
    <w:rsid w:val="00B619BB"/>
    <w:rsid w:val="00B901F6"/>
    <w:rsid w:val="00B93BBF"/>
    <w:rsid w:val="00B96C3C"/>
    <w:rsid w:val="00BA0E9B"/>
    <w:rsid w:val="00BC4F56"/>
    <w:rsid w:val="00BD1D31"/>
    <w:rsid w:val="00BE7EC9"/>
    <w:rsid w:val="00BF2E3A"/>
    <w:rsid w:val="00BF3982"/>
    <w:rsid w:val="00BF7B08"/>
    <w:rsid w:val="00C00B8D"/>
    <w:rsid w:val="00C0569E"/>
    <w:rsid w:val="00C10D28"/>
    <w:rsid w:val="00C10E22"/>
    <w:rsid w:val="00C12650"/>
    <w:rsid w:val="00C13474"/>
    <w:rsid w:val="00C23319"/>
    <w:rsid w:val="00C35CC2"/>
    <w:rsid w:val="00C364B2"/>
    <w:rsid w:val="00C41275"/>
    <w:rsid w:val="00C428C7"/>
    <w:rsid w:val="00C460EB"/>
    <w:rsid w:val="00C51D56"/>
    <w:rsid w:val="00C66D91"/>
    <w:rsid w:val="00CA514B"/>
    <w:rsid w:val="00CA6231"/>
    <w:rsid w:val="00CB2161"/>
    <w:rsid w:val="00CB58C6"/>
    <w:rsid w:val="00CE1F14"/>
    <w:rsid w:val="00CF0B61"/>
    <w:rsid w:val="00CF79FE"/>
    <w:rsid w:val="00D069A2"/>
    <w:rsid w:val="00D1194E"/>
    <w:rsid w:val="00D407E8"/>
    <w:rsid w:val="00D54590"/>
    <w:rsid w:val="00D60010"/>
    <w:rsid w:val="00D64F71"/>
    <w:rsid w:val="00D72213"/>
    <w:rsid w:val="00D76EE6"/>
    <w:rsid w:val="00D76F6F"/>
    <w:rsid w:val="00D90F31"/>
    <w:rsid w:val="00D92822"/>
    <w:rsid w:val="00DA6545"/>
    <w:rsid w:val="00DC0309"/>
    <w:rsid w:val="00DE18A7"/>
    <w:rsid w:val="00E13C1B"/>
    <w:rsid w:val="00E15519"/>
    <w:rsid w:val="00E17CDE"/>
    <w:rsid w:val="00E22516"/>
    <w:rsid w:val="00E22D23"/>
    <w:rsid w:val="00E24354"/>
    <w:rsid w:val="00E26180"/>
    <w:rsid w:val="00E360AC"/>
    <w:rsid w:val="00E51037"/>
    <w:rsid w:val="00E54798"/>
    <w:rsid w:val="00E84393"/>
    <w:rsid w:val="00E866D8"/>
    <w:rsid w:val="00E91F32"/>
    <w:rsid w:val="00E96AD6"/>
    <w:rsid w:val="00EA32F7"/>
    <w:rsid w:val="00EB3DFE"/>
    <w:rsid w:val="00EB3EA7"/>
    <w:rsid w:val="00EB6DB7"/>
    <w:rsid w:val="00EC1C55"/>
    <w:rsid w:val="00ED07C2"/>
    <w:rsid w:val="00ED1F5D"/>
    <w:rsid w:val="00EE1EFF"/>
    <w:rsid w:val="00EE3111"/>
    <w:rsid w:val="00EE79E0"/>
    <w:rsid w:val="00EF161C"/>
    <w:rsid w:val="00EF4D51"/>
    <w:rsid w:val="00EF5479"/>
    <w:rsid w:val="00F14CEC"/>
    <w:rsid w:val="00F17765"/>
    <w:rsid w:val="00F17797"/>
    <w:rsid w:val="00F2604C"/>
    <w:rsid w:val="00F26486"/>
    <w:rsid w:val="00F31EBF"/>
    <w:rsid w:val="00F3487A"/>
    <w:rsid w:val="00F35960"/>
    <w:rsid w:val="00F6052F"/>
    <w:rsid w:val="00F74A95"/>
    <w:rsid w:val="00F849B0"/>
    <w:rsid w:val="00FA486B"/>
    <w:rsid w:val="00FA58C5"/>
    <w:rsid w:val="00FB3D74"/>
    <w:rsid w:val="00FC02BE"/>
    <w:rsid w:val="00FC1EB6"/>
    <w:rsid w:val="00FC6D80"/>
    <w:rsid w:val="00FD397B"/>
    <w:rsid w:val="00FD644E"/>
    <w:rsid w:val="00FE54D8"/>
    <w:rsid w:val="00FE554C"/>
    <w:rsid w:val="00FF4963"/>
    <w:rsid w:val="00FF59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972362"/>
    <w:pPr>
      <w:ind w:left="720"/>
      <w:contextualSpacing/>
    </w:pPr>
    <w:rPr>
      <w:rFonts w:asciiTheme="majorHAnsi" w:hAnsiTheme="maj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Untertitel">
    <w:name w:val="Subtitle"/>
    <w:basedOn w:val="Standard"/>
    <w:next w:val="Standard"/>
    <w:link w:val="UntertitelZchn"/>
    <w:uiPriority w:val="11"/>
    <w:qFormat/>
    <w:rsid w:val="00047445"/>
    <w:pPr>
      <w:numPr>
        <w:ilvl w:val="1"/>
      </w:numPr>
      <w:spacing w:after="160"/>
    </w:pPr>
    <w:rPr>
      <w:rFonts w:asciiTheme="majorHAnsi" w:eastAsiaTheme="minorEastAsia" w:hAnsiTheme="majorHAnsi"/>
      <w:color w:val="5A5A5A" w:themeColor="text1" w:themeTint="A5"/>
      <w:spacing w:val="15"/>
    </w:rPr>
  </w:style>
  <w:style w:type="character" w:customStyle="1" w:styleId="UntertitelZchn">
    <w:name w:val="Untertitel Zchn"/>
    <w:basedOn w:val="Absatz-Standardschriftart"/>
    <w:link w:val="Untertitel"/>
    <w:uiPriority w:val="11"/>
    <w:rsid w:val="00047445"/>
    <w:rPr>
      <w:rFonts w:asciiTheme="majorHAnsi" w:eastAsiaTheme="minorEastAsia" w:hAnsiTheme="majorHAnsi"/>
      <w:color w:val="5A5A5A" w:themeColor="text1" w:themeTint="A5"/>
      <w:spacing w:val="15"/>
    </w:rPr>
  </w:style>
  <w:style w:type="character" w:styleId="Kommentarzeichen">
    <w:name w:val="annotation reference"/>
    <w:basedOn w:val="Absatz-Standardschriftart"/>
    <w:uiPriority w:val="99"/>
    <w:semiHidden/>
    <w:unhideWhenUsed/>
    <w:rsid w:val="003D3F47"/>
    <w:rPr>
      <w:sz w:val="16"/>
      <w:szCs w:val="16"/>
    </w:rPr>
  </w:style>
  <w:style w:type="paragraph" w:styleId="Kommentartext">
    <w:name w:val="annotation text"/>
    <w:basedOn w:val="Standard"/>
    <w:link w:val="KommentartextZchn"/>
    <w:uiPriority w:val="99"/>
    <w:semiHidden/>
    <w:unhideWhenUsed/>
    <w:rsid w:val="003D3F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F4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D3F47"/>
    <w:rPr>
      <w:b/>
      <w:bCs/>
    </w:rPr>
  </w:style>
  <w:style w:type="character" w:customStyle="1" w:styleId="KommentarthemaZchn">
    <w:name w:val="Kommentarthema Zchn"/>
    <w:basedOn w:val="KommentartextZchn"/>
    <w:link w:val="Kommentarthema"/>
    <w:uiPriority w:val="99"/>
    <w:semiHidden/>
    <w:rsid w:val="003D3F47"/>
    <w:rPr>
      <w:rFonts w:ascii="Cambria" w:hAnsi="Cambria"/>
      <w:b/>
      <w:bCs/>
      <w:color w:val="1D1B11" w:themeColor="background2" w:themeShade="1A"/>
      <w:sz w:val="20"/>
      <w:szCs w:val="20"/>
    </w:rPr>
  </w:style>
  <w:style w:type="paragraph" w:styleId="berarbeitung">
    <w:name w:val="Revision"/>
    <w:hidden/>
    <w:uiPriority w:val="99"/>
    <w:semiHidden/>
    <w:rsid w:val="009A3DA2"/>
    <w:pPr>
      <w:spacing w:after="0" w:line="240" w:lineRule="auto"/>
    </w:pPr>
    <w:rPr>
      <w:rFonts w:ascii="Cambria" w:hAnsi="Cambria"/>
      <w:color w:val="1D1B11" w:themeColor="background2" w:themeShade="1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972362"/>
    <w:pPr>
      <w:ind w:left="720"/>
      <w:contextualSpacing/>
    </w:pPr>
    <w:rPr>
      <w:rFonts w:asciiTheme="majorHAnsi" w:hAnsiTheme="maj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raster">
    <w:name w:val="Table Grid"/>
    <w:basedOn w:val="NormaleTabelle"/>
    <w:uiPriority w:val="59"/>
    <w:rsid w:val="00913D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paragraph" w:styleId="Untertitel">
    <w:name w:val="Subtitle"/>
    <w:basedOn w:val="Standard"/>
    <w:next w:val="Standard"/>
    <w:link w:val="UntertitelZchn"/>
    <w:uiPriority w:val="11"/>
    <w:qFormat/>
    <w:rsid w:val="00047445"/>
    <w:pPr>
      <w:numPr>
        <w:ilvl w:val="1"/>
      </w:numPr>
      <w:spacing w:after="160"/>
    </w:pPr>
    <w:rPr>
      <w:rFonts w:asciiTheme="majorHAnsi" w:eastAsiaTheme="minorEastAsia" w:hAnsiTheme="majorHAnsi"/>
      <w:color w:val="5A5A5A" w:themeColor="text1" w:themeTint="A5"/>
      <w:spacing w:val="15"/>
    </w:rPr>
  </w:style>
  <w:style w:type="character" w:customStyle="1" w:styleId="UntertitelZchn">
    <w:name w:val="Untertitel Zchn"/>
    <w:basedOn w:val="Absatz-Standardschriftart"/>
    <w:link w:val="Untertitel"/>
    <w:uiPriority w:val="11"/>
    <w:rsid w:val="00047445"/>
    <w:rPr>
      <w:rFonts w:asciiTheme="majorHAnsi" w:eastAsiaTheme="minorEastAsia" w:hAnsiTheme="majorHAnsi"/>
      <w:color w:val="5A5A5A" w:themeColor="text1" w:themeTint="A5"/>
      <w:spacing w:val="15"/>
    </w:rPr>
  </w:style>
  <w:style w:type="character" w:styleId="Kommentarzeichen">
    <w:name w:val="annotation reference"/>
    <w:basedOn w:val="Absatz-Standardschriftart"/>
    <w:uiPriority w:val="99"/>
    <w:semiHidden/>
    <w:unhideWhenUsed/>
    <w:rsid w:val="003D3F47"/>
    <w:rPr>
      <w:sz w:val="16"/>
      <w:szCs w:val="16"/>
    </w:rPr>
  </w:style>
  <w:style w:type="paragraph" w:styleId="Kommentartext">
    <w:name w:val="annotation text"/>
    <w:basedOn w:val="Standard"/>
    <w:link w:val="KommentartextZchn"/>
    <w:uiPriority w:val="99"/>
    <w:semiHidden/>
    <w:unhideWhenUsed/>
    <w:rsid w:val="003D3F4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D3F47"/>
    <w:rPr>
      <w:rFonts w:ascii="Cambria" w:hAnsi="Cambria"/>
      <w:color w:val="1D1B11" w:themeColor="background2" w:themeShade="1A"/>
      <w:sz w:val="20"/>
      <w:szCs w:val="20"/>
    </w:rPr>
  </w:style>
  <w:style w:type="paragraph" w:styleId="Kommentarthema">
    <w:name w:val="annotation subject"/>
    <w:basedOn w:val="Kommentartext"/>
    <w:next w:val="Kommentartext"/>
    <w:link w:val="KommentarthemaZchn"/>
    <w:uiPriority w:val="99"/>
    <w:semiHidden/>
    <w:unhideWhenUsed/>
    <w:rsid w:val="003D3F47"/>
    <w:rPr>
      <w:b/>
      <w:bCs/>
    </w:rPr>
  </w:style>
  <w:style w:type="character" w:customStyle="1" w:styleId="KommentarthemaZchn">
    <w:name w:val="Kommentarthema Zchn"/>
    <w:basedOn w:val="KommentartextZchn"/>
    <w:link w:val="Kommentarthema"/>
    <w:uiPriority w:val="99"/>
    <w:semiHidden/>
    <w:rsid w:val="003D3F47"/>
    <w:rPr>
      <w:rFonts w:ascii="Cambria" w:hAnsi="Cambria"/>
      <w:b/>
      <w:bCs/>
      <w:color w:val="1D1B11" w:themeColor="background2" w:themeShade="1A"/>
      <w:sz w:val="20"/>
      <w:szCs w:val="20"/>
    </w:rPr>
  </w:style>
  <w:style w:type="paragraph" w:styleId="berarbeitung">
    <w:name w:val="Revision"/>
    <w:hidden/>
    <w:uiPriority w:val="99"/>
    <w:semiHidden/>
    <w:rsid w:val="009A3DA2"/>
    <w:pPr>
      <w:spacing w:after="0" w:line="240" w:lineRule="auto"/>
    </w:pPr>
    <w:rPr>
      <w:rFonts w:ascii="Cambria" w:hAnsi="Cambria"/>
      <w:color w:val="1D1B11"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92309">
      <w:bodyDiv w:val="1"/>
      <w:marLeft w:val="0"/>
      <w:marRight w:val="0"/>
      <w:marTop w:val="0"/>
      <w:marBottom w:val="0"/>
      <w:divBdr>
        <w:top w:val="none" w:sz="0" w:space="0" w:color="auto"/>
        <w:left w:val="none" w:sz="0" w:space="0" w:color="auto"/>
        <w:bottom w:val="none" w:sz="0" w:space="0" w:color="auto"/>
        <w:right w:val="none" w:sz="0" w:space="0" w:color="auto"/>
      </w:divBdr>
      <w:divsChild>
        <w:div w:id="371657489">
          <w:marLeft w:val="0"/>
          <w:marRight w:val="0"/>
          <w:marTop w:val="0"/>
          <w:marBottom w:val="0"/>
          <w:divBdr>
            <w:top w:val="none" w:sz="0" w:space="0" w:color="auto"/>
            <w:left w:val="none" w:sz="0" w:space="0" w:color="auto"/>
            <w:bottom w:val="none" w:sz="0" w:space="0" w:color="auto"/>
            <w:right w:val="none" w:sz="0" w:space="0" w:color="auto"/>
          </w:divBdr>
        </w:div>
      </w:divsChild>
    </w:div>
    <w:div w:id="637228142">
      <w:bodyDiv w:val="1"/>
      <w:marLeft w:val="0"/>
      <w:marRight w:val="0"/>
      <w:marTop w:val="0"/>
      <w:marBottom w:val="0"/>
      <w:divBdr>
        <w:top w:val="none" w:sz="0" w:space="0" w:color="auto"/>
        <w:left w:val="none" w:sz="0" w:space="0" w:color="auto"/>
        <w:bottom w:val="none" w:sz="0" w:space="0" w:color="auto"/>
        <w:right w:val="none" w:sz="0" w:space="0" w:color="auto"/>
      </w:divBdr>
      <w:divsChild>
        <w:div w:id="1878853066">
          <w:marLeft w:val="0"/>
          <w:marRight w:val="0"/>
          <w:marTop w:val="0"/>
          <w:marBottom w:val="0"/>
          <w:divBdr>
            <w:top w:val="none" w:sz="0" w:space="0" w:color="auto"/>
            <w:left w:val="none" w:sz="0" w:space="0" w:color="auto"/>
            <w:bottom w:val="none" w:sz="0" w:space="0" w:color="auto"/>
            <w:right w:val="none" w:sz="0" w:space="0" w:color="auto"/>
          </w:divBdr>
        </w:div>
      </w:divsChild>
    </w:div>
    <w:div w:id="986470592">
      <w:bodyDiv w:val="1"/>
      <w:marLeft w:val="0"/>
      <w:marRight w:val="0"/>
      <w:marTop w:val="0"/>
      <w:marBottom w:val="0"/>
      <w:divBdr>
        <w:top w:val="none" w:sz="0" w:space="0" w:color="auto"/>
        <w:left w:val="none" w:sz="0" w:space="0" w:color="auto"/>
        <w:bottom w:val="none" w:sz="0" w:space="0" w:color="auto"/>
        <w:right w:val="none" w:sz="0" w:space="0" w:color="auto"/>
      </w:divBdr>
      <w:divsChild>
        <w:div w:id="1748183321">
          <w:marLeft w:val="0"/>
          <w:marRight w:val="0"/>
          <w:marTop w:val="0"/>
          <w:marBottom w:val="0"/>
          <w:divBdr>
            <w:top w:val="none" w:sz="0" w:space="0" w:color="auto"/>
            <w:left w:val="none" w:sz="0" w:space="0" w:color="auto"/>
            <w:bottom w:val="none" w:sz="0" w:space="0" w:color="auto"/>
            <w:right w:val="none" w:sz="0" w:space="0" w:color="auto"/>
          </w:divBdr>
        </w:div>
      </w:divsChild>
    </w:div>
    <w:div w:id="1114056551">
      <w:bodyDiv w:val="1"/>
      <w:marLeft w:val="0"/>
      <w:marRight w:val="0"/>
      <w:marTop w:val="0"/>
      <w:marBottom w:val="0"/>
      <w:divBdr>
        <w:top w:val="none" w:sz="0" w:space="0" w:color="auto"/>
        <w:left w:val="none" w:sz="0" w:space="0" w:color="auto"/>
        <w:bottom w:val="none" w:sz="0" w:space="0" w:color="auto"/>
        <w:right w:val="none" w:sz="0" w:space="0" w:color="auto"/>
      </w:divBdr>
      <w:divsChild>
        <w:div w:id="1279752639">
          <w:marLeft w:val="0"/>
          <w:marRight w:val="0"/>
          <w:marTop w:val="0"/>
          <w:marBottom w:val="0"/>
          <w:divBdr>
            <w:top w:val="none" w:sz="0" w:space="0" w:color="auto"/>
            <w:left w:val="none" w:sz="0" w:space="0" w:color="auto"/>
            <w:bottom w:val="none" w:sz="0" w:space="0" w:color="auto"/>
            <w:right w:val="none" w:sz="0" w:space="0" w:color="auto"/>
          </w:divBdr>
        </w:div>
      </w:divsChild>
    </w:div>
    <w:div w:id="1180973201">
      <w:bodyDiv w:val="1"/>
      <w:marLeft w:val="0"/>
      <w:marRight w:val="0"/>
      <w:marTop w:val="0"/>
      <w:marBottom w:val="0"/>
      <w:divBdr>
        <w:top w:val="none" w:sz="0" w:space="0" w:color="auto"/>
        <w:left w:val="none" w:sz="0" w:space="0" w:color="auto"/>
        <w:bottom w:val="none" w:sz="0" w:space="0" w:color="auto"/>
        <w:right w:val="none" w:sz="0" w:space="0" w:color="auto"/>
      </w:divBdr>
      <w:divsChild>
        <w:div w:id="1876887429">
          <w:marLeft w:val="1267"/>
          <w:marRight w:val="0"/>
          <w:marTop w:val="0"/>
          <w:marBottom w:val="0"/>
          <w:divBdr>
            <w:top w:val="none" w:sz="0" w:space="0" w:color="auto"/>
            <w:left w:val="none" w:sz="0" w:space="0" w:color="auto"/>
            <w:bottom w:val="none" w:sz="0" w:space="0" w:color="auto"/>
            <w:right w:val="none" w:sz="0" w:space="0" w:color="auto"/>
          </w:divBdr>
        </w:div>
        <w:div w:id="1603998381">
          <w:marLeft w:val="1267"/>
          <w:marRight w:val="0"/>
          <w:marTop w:val="0"/>
          <w:marBottom w:val="0"/>
          <w:divBdr>
            <w:top w:val="none" w:sz="0" w:space="0" w:color="auto"/>
            <w:left w:val="none" w:sz="0" w:space="0" w:color="auto"/>
            <w:bottom w:val="none" w:sz="0" w:space="0" w:color="auto"/>
            <w:right w:val="none" w:sz="0" w:space="0" w:color="auto"/>
          </w:divBdr>
        </w:div>
        <w:div w:id="805465768">
          <w:marLeft w:val="1267"/>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BDB6CED0-AAC0-40BB-90DE-3FB6968CA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1233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Timm</cp:lastModifiedBy>
  <cp:revision>5</cp:revision>
  <cp:lastPrinted>2015-12-02T10:02:00Z</cp:lastPrinted>
  <dcterms:created xsi:type="dcterms:W3CDTF">2015-08-20T09:27:00Z</dcterms:created>
  <dcterms:modified xsi:type="dcterms:W3CDTF">2015-12-02T10:02:00Z</dcterms:modified>
</cp:coreProperties>
</file>