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BC8" w:rsidRPr="0052115F" w:rsidRDefault="00F27BC8" w:rsidP="00F27BC8">
      <w:pPr>
        <w:pStyle w:val="berschrift1"/>
        <w:numPr>
          <w:ilvl w:val="0"/>
          <w:numId w:val="0"/>
        </w:numPr>
        <w:ind w:left="432" w:hanging="432"/>
        <w:rPr>
          <w:color w:val="auto"/>
        </w:rPr>
      </w:pPr>
      <w:bookmarkStart w:id="0" w:name="_Toc425776594"/>
      <w:r>
        <w:rPr>
          <w:noProof/>
          <w:color w:val="auto"/>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60.4pt;width:462.45pt;height:115.5pt;z-index:251660288;mso-width-relative:margin;mso-height-relative:margin" fillcolor="white [3201]" strokecolor="#4bacc6 [3208]" strokeweight="1pt">
            <v:stroke dashstyle="dash"/>
            <v:shadow color="#868686"/>
            <v:textbox style="mso-next-textbox:#_x0000_s1027">
              <w:txbxContent>
                <w:p w:rsidR="00F27BC8" w:rsidRPr="00F31EBF" w:rsidRDefault="00F27BC8" w:rsidP="00F27BC8">
                  <w:pPr>
                    <w:rPr>
                      <w:color w:val="auto"/>
                    </w:rPr>
                  </w:pPr>
                  <w:r>
                    <w:rPr>
                      <w:color w:val="auto"/>
                    </w:rPr>
                    <w:t>In diesem Versuch wird das Massenverhältnis von Kupfer und Sauerstoff in schwarzem und rotem Kupferoxid untersucht. Dabei lassen sich in einer einzigen Versuchsanordnung die Ma</w:t>
                  </w:r>
                  <w:r>
                    <w:rPr>
                      <w:color w:val="auto"/>
                    </w:rPr>
                    <w:t>s</w:t>
                  </w:r>
                  <w:r>
                    <w:rPr>
                      <w:color w:val="auto"/>
                    </w:rPr>
                    <w:t>senverhältnisse beider Oxide feststellen. Eine Umsetzung mit Wasserstoff wird genutzt, um die konstanten Massenverhältnisse von Sauerstoff zu Kupfer in den beiden Verbindungen herzule</w:t>
                  </w:r>
                  <w:r>
                    <w:rPr>
                      <w:color w:val="auto"/>
                    </w:rPr>
                    <w:t>i</w:t>
                  </w:r>
                  <w:r>
                    <w:rPr>
                      <w:color w:val="auto"/>
                    </w:rPr>
                    <w:t>ten, aus denen im Anschluss das Gesetz der multiplen Proportionen entwickelt werden kann.</w:t>
                  </w:r>
                </w:p>
              </w:txbxContent>
            </v:textbox>
            <w10:wrap type="square"/>
          </v:shape>
        </w:pict>
      </w:r>
      <w:bookmarkEnd w:id="0"/>
      <w:r>
        <w:rPr>
          <w:color w:val="auto"/>
        </w:rPr>
        <w:t>Massenverhältnis von Kupfer und Sauerstoff in den Kupferoxiden</w:t>
      </w:r>
    </w:p>
    <w:p w:rsidR="00F27BC8" w:rsidRDefault="00F27BC8" w:rsidP="00F27BC8">
      <w:pPr>
        <w:tabs>
          <w:tab w:val="left" w:pos="1701"/>
          <w:tab w:val="left" w:pos="1985"/>
        </w:tabs>
        <w:rPr>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F27BC8" w:rsidRPr="009C5E28" w:rsidTr="00D50F92">
        <w:tc>
          <w:tcPr>
            <w:tcW w:w="9322" w:type="dxa"/>
            <w:gridSpan w:val="9"/>
            <w:shd w:val="clear" w:color="auto" w:fill="4F81BD"/>
            <w:vAlign w:val="center"/>
          </w:tcPr>
          <w:p w:rsidR="00F27BC8" w:rsidRPr="009C5E28" w:rsidRDefault="00F27BC8" w:rsidP="00D50F92">
            <w:pPr>
              <w:spacing w:after="0"/>
              <w:jc w:val="center"/>
              <w:rPr>
                <w:b/>
                <w:bCs/>
              </w:rPr>
            </w:pPr>
            <w:r w:rsidRPr="009C5E28">
              <w:rPr>
                <w:b/>
                <w:bCs/>
              </w:rPr>
              <w:t>Gefahrenstoffe</w:t>
            </w:r>
          </w:p>
        </w:tc>
      </w:tr>
      <w:tr w:rsidR="00F27BC8" w:rsidRPr="009C5E28" w:rsidTr="00D50F92">
        <w:tc>
          <w:tcPr>
            <w:tcW w:w="3027" w:type="dxa"/>
            <w:gridSpan w:val="3"/>
            <w:tcBorders>
              <w:top w:val="single" w:sz="8" w:space="0" w:color="4F81BD"/>
              <w:left w:val="single" w:sz="8" w:space="0" w:color="4F81BD"/>
              <w:bottom w:val="single" w:sz="8" w:space="0" w:color="4F81BD"/>
            </w:tcBorders>
            <w:shd w:val="clear" w:color="auto" w:fill="auto"/>
            <w:vAlign w:val="center"/>
          </w:tcPr>
          <w:p w:rsidR="00F27BC8" w:rsidRPr="009C5E28" w:rsidRDefault="00F27BC8" w:rsidP="00D50F92">
            <w:pPr>
              <w:spacing w:after="0"/>
              <w:rPr>
                <w:bCs/>
                <w:color w:val="auto"/>
                <w:sz w:val="20"/>
                <w:szCs w:val="20"/>
              </w:rPr>
            </w:pPr>
            <w:r>
              <w:rPr>
                <w:bCs/>
                <w:color w:val="auto"/>
                <w:sz w:val="20"/>
                <w:szCs w:val="20"/>
              </w:rPr>
              <w:t>schwarzes Kupferoxid</w:t>
            </w:r>
          </w:p>
        </w:tc>
        <w:tc>
          <w:tcPr>
            <w:tcW w:w="3177" w:type="dxa"/>
            <w:gridSpan w:val="3"/>
            <w:tcBorders>
              <w:top w:val="single" w:sz="8" w:space="0" w:color="4F81BD"/>
              <w:bottom w:val="single" w:sz="8" w:space="0" w:color="4F81BD"/>
            </w:tcBorders>
            <w:shd w:val="clear" w:color="auto" w:fill="auto"/>
            <w:vAlign w:val="center"/>
          </w:tcPr>
          <w:p w:rsidR="00F27BC8" w:rsidRPr="009C5E28" w:rsidRDefault="00F27BC8" w:rsidP="00D50F92">
            <w:pPr>
              <w:spacing w:after="0"/>
              <w:rPr>
                <w:color w:val="auto"/>
                <w:sz w:val="20"/>
                <w:szCs w:val="20"/>
              </w:rPr>
            </w:pPr>
            <w:r w:rsidRPr="009C5E28">
              <w:rPr>
                <w:color w:val="auto"/>
                <w:sz w:val="20"/>
                <w:szCs w:val="20"/>
              </w:rPr>
              <w:t xml:space="preserve">H: </w:t>
            </w:r>
            <w:r>
              <w:t>302-410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27BC8" w:rsidRPr="009C5E28" w:rsidRDefault="00F27BC8" w:rsidP="00D50F92">
            <w:pPr>
              <w:spacing w:after="0"/>
              <w:rPr>
                <w:color w:val="auto"/>
                <w:sz w:val="20"/>
                <w:szCs w:val="20"/>
              </w:rPr>
            </w:pPr>
            <w:r w:rsidRPr="009C5E28">
              <w:rPr>
                <w:color w:val="auto"/>
                <w:sz w:val="20"/>
                <w:szCs w:val="20"/>
              </w:rPr>
              <w:t xml:space="preserve">P: </w:t>
            </w:r>
            <w:r>
              <w:t>260-273</w:t>
            </w:r>
          </w:p>
        </w:tc>
      </w:tr>
      <w:tr w:rsidR="00F27BC8" w:rsidRPr="009C5E28" w:rsidTr="00D50F92">
        <w:tc>
          <w:tcPr>
            <w:tcW w:w="3027" w:type="dxa"/>
            <w:gridSpan w:val="3"/>
            <w:shd w:val="clear" w:color="auto" w:fill="auto"/>
            <w:vAlign w:val="center"/>
          </w:tcPr>
          <w:p w:rsidR="00F27BC8" w:rsidRPr="009C5E28" w:rsidRDefault="00F27BC8" w:rsidP="00D50F92">
            <w:pPr>
              <w:spacing w:after="0"/>
              <w:rPr>
                <w:bCs/>
                <w:color w:val="auto"/>
                <w:sz w:val="20"/>
                <w:szCs w:val="20"/>
              </w:rPr>
            </w:pPr>
            <w:r>
              <w:rPr>
                <w:bCs/>
                <w:color w:val="auto"/>
                <w:sz w:val="20"/>
                <w:szCs w:val="20"/>
              </w:rPr>
              <w:t>rotes Kupferoxid</w:t>
            </w:r>
          </w:p>
        </w:tc>
        <w:tc>
          <w:tcPr>
            <w:tcW w:w="3177" w:type="dxa"/>
            <w:gridSpan w:val="3"/>
            <w:shd w:val="clear" w:color="auto" w:fill="auto"/>
            <w:vAlign w:val="center"/>
          </w:tcPr>
          <w:p w:rsidR="00F27BC8" w:rsidRPr="009C5E28" w:rsidRDefault="00F27BC8" w:rsidP="00D50F92">
            <w:pPr>
              <w:spacing w:after="0"/>
              <w:rPr>
                <w:color w:val="auto"/>
                <w:sz w:val="20"/>
                <w:szCs w:val="20"/>
              </w:rPr>
            </w:pPr>
            <w:r w:rsidRPr="009C5E28">
              <w:rPr>
                <w:color w:val="auto"/>
                <w:sz w:val="20"/>
                <w:szCs w:val="20"/>
              </w:rPr>
              <w:t xml:space="preserve">H: </w:t>
            </w:r>
            <w:r>
              <w:t>302+410</w:t>
            </w:r>
          </w:p>
        </w:tc>
        <w:tc>
          <w:tcPr>
            <w:tcW w:w="3118" w:type="dxa"/>
            <w:gridSpan w:val="3"/>
            <w:shd w:val="clear" w:color="auto" w:fill="auto"/>
            <w:vAlign w:val="center"/>
          </w:tcPr>
          <w:p w:rsidR="00F27BC8" w:rsidRPr="009C5E28" w:rsidRDefault="00F27BC8" w:rsidP="00D50F92">
            <w:pPr>
              <w:spacing w:after="0"/>
              <w:rPr>
                <w:color w:val="auto"/>
                <w:sz w:val="20"/>
                <w:szCs w:val="20"/>
              </w:rPr>
            </w:pPr>
            <w:r>
              <w:rPr>
                <w:color w:val="auto"/>
                <w:sz w:val="20"/>
                <w:szCs w:val="20"/>
              </w:rPr>
              <w:t>P:</w:t>
            </w:r>
            <w:r>
              <w:t>264-270-273-301+312-330-501</w:t>
            </w:r>
          </w:p>
        </w:tc>
      </w:tr>
      <w:tr w:rsidR="00F27BC8" w:rsidRPr="009C5E28" w:rsidTr="00D50F92">
        <w:tc>
          <w:tcPr>
            <w:tcW w:w="3027" w:type="dxa"/>
            <w:gridSpan w:val="3"/>
            <w:tcBorders>
              <w:top w:val="single" w:sz="8" w:space="0" w:color="4F81BD"/>
              <w:left w:val="single" w:sz="8" w:space="0" w:color="4F81BD"/>
              <w:bottom w:val="single" w:sz="8" w:space="0" w:color="4F81BD"/>
            </w:tcBorders>
            <w:shd w:val="clear" w:color="auto" w:fill="auto"/>
            <w:vAlign w:val="center"/>
          </w:tcPr>
          <w:p w:rsidR="00F27BC8" w:rsidRPr="009C5E28" w:rsidRDefault="00F27BC8" w:rsidP="00D50F92">
            <w:pPr>
              <w:spacing w:after="0"/>
              <w:rPr>
                <w:bCs/>
                <w:color w:val="auto"/>
                <w:sz w:val="20"/>
                <w:szCs w:val="20"/>
              </w:rPr>
            </w:pPr>
            <w:proofErr w:type="spellStart"/>
            <w:r>
              <w:rPr>
                <w:bCs/>
                <w:color w:val="auto"/>
                <w:sz w:val="20"/>
                <w:szCs w:val="20"/>
              </w:rPr>
              <w:t>konz</w:t>
            </w:r>
            <w:proofErr w:type="spellEnd"/>
            <w:r>
              <w:rPr>
                <w:bCs/>
                <w:color w:val="auto"/>
                <w:sz w:val="20"/>
                <w:szCs w:val="20"/>
              </w:rPr>
              <w:t>. Schwefelsäure</w:t>
            </w:r>
          </w:p>
        </w:tc>
        <w:tc>
          <w:tcPr>
            <w:tcW w:w="3177" w:type="dxa"/>
            <w:gridSpan w:val="3"/>
            <w:tcBorders>
              <w:top w:val="single" w:sz="8" w:space="0" w:color="4F81BD"/>
              <w:bottom w:val="single" w:sz="8" w:space="0" w:color="4F81BD"/>
            </w:tcBorders>
            <w:shd w:val="clear" w:color="auto" w:fill="auto"/>
            <w:vAlign w:val="center"/>
          </w:tcPr>
          <w:p w:rsidR="00F27BC8" w:rsidRPr="009C5E28" w:rsidRDefault="00F27BC8" w:rsidP="00D50F92">
            <w:pPr>
              <w:spacing w:after="0"/>
              <w:rPr>
                <w:color w:val="auto"/>
                <w:sz w:val="20"/>
                <w:szCs w:val="20"/>
              </w:rPr>
            </w:pPr>
            <w:r w:rsidRPr="009C5E28">
              <w:rPr>
                <w:color w:val="auto"/>
                <w:sz w:val="20"/>
                <w:szCs w:val="20"/>
              </w:rPr>
              <w:t xml:space="preserve">H: </w:t>
            </w:r>
            <w:r>
              <w:t>290-314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27BC8" w:rsidRPr="009C5E28" w:rsidRDefault="00F27BC8" w:rsidP="00D50F92">
            <w:pPr>
              <w:spacing w:after="0"/>
              <w:rPr>
                <w:color w:val="auto"/>
                <w:sz w:val="20"/>
                <w:szCs w:val="20"/>
              </w:rPr>
            </w:pPr>
            <w:r w:rsidRPr="009C5E28">
              <w:rPr>
                <w:color w:val="auto"/>
                <w:sz w:val="20"/>
                <w:szCs w:val="20"/>
              </w:rPr>
              <w:t>P:</w:t>
            </w:r>
            <w:r>
              <w:t>280-301+330+331-305+351++338-309+310</w:t>
            </w:r>
          </w:p>
        </w:tc>
      </w:tr>
      <w:tr w:rsidR="00F27BC8" w:rsidRPr="009C5E28" w:rsidTr="00D50F92">
        <w:tc>
          <w:tcPr>
            <w:tcW w:w="3027" w:type="dxa"/>
            <w:gridSpan w:val="3"/>
            <w:tcBorders>
              <w:top w:val="single" w:sz="8" w:space="0" w:color="4F81BD"/>
              <w:left w:val="single" w:sz="8" w:space="0" w:color="4F81BD"/>
              <w:bottom w:val="single" w:sz="8" w:space="0" w:color="4F81BD"/>
            </w:tcBorders>
            <w:shd w:val="clear" w:color="auto" w:fill="auto"/>
            <w:vAlign w:val="center"/>
          </w:tcPr>
          <w:p w:rsidR="00F27BC8" w:rsidRPr="009C5E28" w:rsidRDefault="00F27BC8" w:rsidP="00D50F92">
            <w:pPr>
              <w:spacing w:after="0"/>
              <w:rPr>
                <w:bCs/>
                <w:color w:val="auto"/>
                <w:sz w:val="20"/>
                <w:szCs w:val="20"/>
              </w:rPr>
            </w:pPr>
            <w:r>
              <w:rPr>
                <w:bCs/>
                <w:color w:val="auto"/>
                <w:sz w:val="20"/>
                <w:szCs w:val="20"/>
              </w:rPr>
              <w:t>Wasserstoff</w:t>
            </w:r>
          </w:p>
        </w:tc>
        <w:tc>
          <w:tcPr>
            <w:tcW w:w="3177" w:type="dxa"/>
            <w:gridSpan w:val="3"/>
            <w:tcBorders>
              <w:top w:val="single" w:sz="8" w:space="0" w:color="4F81BD"/>
              <w:bottom w:val="single" w:sz="8" w:space="0" w:color="4F81BD"/>
            </w:tcBorders>
            <w:shd w:val="clear" w:color="auto" w:fill="auto"/>
            <w:vAlign w:val="center"/>
          </w:tcPr>
          <w:p w:rsidR="00F27BC8" w:rsidRPr="009C5E28" w:rsidRDefault="00F27BC8" w:rsidP="00D50F92">
            <w:pPr>
              <w:spacing w:after="0"/>
              <w:rPr>
                <w:color w:val="auto"/>
                <w:sz w:val="20"/>
                <w:szCs w:val="20"/>
              </w:rPr>
            </w:pPr>
            <w:r>
              <w:rPr>
                <w:color w:val="auto"/>
                <w:sz w:val="20"/>
                <w:szCs w:val="20"/>
              </w:rPr>
              <w:t>H: 220-280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27BC8" w:rsidRPr="009C5E28" w:rsidRDefault="00F27BC8" w:rsidP="00D50F92">
            <w:pPr>
              <w:spacing w:after="0"/>
              <w:rPr>
                <w:color w:val="auto"/>
                <w:sz w:val="20"/>
                <w:szCs w:val="20"/>
              </w:rPr>
            </w:pPr>
            <w:r>
              <w:rPr>
                <w:color w:val="auto"/>
                <w:sz w:val="20"/>
                <w:szCs w:val="20"/>
              </w:rPr>
              <w:t>P: 210-377-381-403</w:t>
            </w:r>
          </w:p>
        </w:tc>
      </w:tr>
      <w:tr w:rsidR="00F27BC8" w:rsidRPr="009C5E28" w:rsidTr="00D50F92">
        <w:tc>
          <w:tcPr>
            <w:tcW w:w="3027" w:type="dxa"/>
            <w:gridSpan w:val="3"/>
            <w:tcBorders>
              <w:top w:val="single" w:sz="8" w:space="0" w:color="4F81BD"/>
              <w:left w:val="single" w:sz="8" w:space="0" w:color="4F81BD"/>
              <w:bottom w:val="single" w:sz="8" w:space="0" w:color="4F81BD"/>
            </w:tcBorders>
            <w:shd w:val="clear" w:color="auto" w:fill="auto"/>
            <w:vAlign w:val="center"/>
          </w:tcPr>
          <w:p w:rsidR="00F27BC8" w:rsidRDefault="00F27BC8" w:rsidP="00D50F92">
            <w:pPr>
              <w:spacing w:after="0"/>
              <w:rPr>
                <w:bCs/>
                <w:color w:val="auto"/>
                <w:sz w:val="20"/>
                <w:szCs w:val="20"/>
              </w:rPr>
            </w:pPr>
            <w:r>
              <w:rPr>
                <w:bCs/>
                <w:color w:val="auto"/>
                <w:sz w:val="20"/>
                <w:szCs w:val="20"/>
              </w:rPr>
              <w:t>Kupfer</w:t>
            </w:r>
          </w:p>
        </w:tc>
        <w:tc>
          <w:tcPr>
            <w:tcW w:w="3177" w:type="dxa"/>
            <w:gridSpan w:val="3"/>
            <w:tcBorders>
              <w:top w:val="single" w:sz="8" w:space="0" w:color="4F81BD"/>
              <w:bottom w:val="single" w:sz="8" w:space="0" w:color="4F81BD"/>
            </w:tcBorders>
            <w:shd w:val="clear" w:color="auto" w:fill="auto"/>
            <w:vAlign w:val="center"/>
          </w:tcPr>
          <w:p w:rsidR="00F27BC8" w:rsidRDefault="00F27BC8" w:rsidP="00D50F92">
            <w:pPr>
              <w:spacing w:after="0"/>
              <w:rPr>
                <w:color w:val="auto"/>
                <w:sz w:val="20"/>
                <w:szCs w:val="20"/>
              </w:rPr>
            </w:pPr>
            <w:r>
              <w:rPr>
                <w:color w:val="auto"/>
                <w:sz w:val="20"/>
                <w:szCs w:val="20"/>
              </w:rPr>
              <w:t>H: 228-410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27BC8" w:rsidRDefault="00F27BC8" w:rsidP="00D50F92">
            <w:pPr>
              <w:spacing w:after="0"/>
              <w:rPr>
                <w:color w:val="auto"/>
                <w:sz w:val="20"/>
                <w:szCs w:val="20"/>
              </w:rPr>
            </w:pPr>
            <w:r>
              <w:rPr>
                <w:color w:val="auto"/>
                <w:sz w:val="20"/>
                <w:szCs w:val="20"/>
              </w:rPr>
              <w:t>P: 210-273-501</w:t>
            </w:r>
          </w:p>
        </w:tc>
      </w:tr>
      <w:tr w:rsidR="00F27BC8" w:rsidRPr="009C5E28" w:rsidTr="00D50F92">
        <w:tc>
          <w:tcPr>
            <w:tcW w:w="1009" w:type="dxa"/>
            <w:shd w:val="clear" w:color="auto" w:fill="auto"/>
            <w:vAlign w:val="center"/>
          </w:tcPr>
          <w:p w:rsidR="00F27BC8" w:rsidRPr="009C5E28" w:rsidRDefault="00F27BC8" w:rsidP="00D50F92">
            <w:pPr>
              <w:spacing w:after="0"/>
              <w:jc w:val="center"/>
              <w:rPr>
                <w:b/>
                <w:bCs/>
              </w:rPr>
            </w:pPr>
            <w:r>
              <w:rPr>
                <w:b/>
                <w:noProof/>
                <w:lang w:eastAsia="de-DE"/>
              </w:rPr>
              <w:drawing>
                <wp:inline distT="0" distB="0" distL="0" distR="0">
                  <wp:extent cx="500380" cy="500380"/>
                  <wp:effectExtent l="19050" t="0" r="0" b="0"/>
                  <wp:docPr id="35"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F27BC8" w:rsidRPr="009C5E28" w:rsidRDefault="00F27BC8" w:rsidP="00D50F92">
            <w:pPr>
              <w:spacing w:after="0"/>
              <w:jc w:val="center"/>
            </w:pPr>
            <w:r>
              <w:rPr>
                <w:noProof/>
                <w:lang w:eastAsia="de-DE"/>
              </w:rPr>
              <w:drawing>
                <wp:inline distT="0" distB="0" distL="0" distR="0">
                  <wp:extent cx="500380" cy="500380"/>
                  <wp:effectExtent l="19050" t="0" r="0" b="0"/>
                  <wp:docPr id="34"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2"/>
                          <pic:cNvPicPr>
                            <a:picLocks noChangeAspect="1" noChangeArrowheads="1"/>
                          </pic:cNvPicPr>
                        </pic:nvPicPr>
                        <pic:blipFill>
                          <a:blip r:embed="rId6"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F27BC8" w:rsidRPr="009C5E28" w:rsidRDefault="00F27BC8" w:rsidP="00D50F92">
            <w:pPr>
              <w:spacing w:after="0"/>
              <w:jc w:val="center"/>
            </w:pPr>
            <w:r>
              <w:rPr>
                <w:noProof/>
                <w:lang w:eastAsia="de-DE"/>
              </w:rPr>
              <w:drawing>
                <wp:inline distT="0" distB="0" distL="0" distR="0">
                  <wp:extent cx="500380" cy="500380"/>
                  <wp:effectExtent l="19050" t="0" r="0" b="0"/>
                  <wp:docPr id="3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F27BC8" w:rsidRPr="009C5E28" w:rsidRDefault="00F27BC8" w:rsidP="00D50F92">
            <w:pPr>
              <w:spacing w:after="0"/>
              <w:jc w:val="center"/>
            </w:pPr>
            <w:r>
              <w:rPr>
                <w:noProof/>
                <w:lang w:eastAsia="de-DE"/>
              </w:rPr>
              <w:drawing>
                <wp:inline distT="0" distB="0" distL="0" distR="0">
                  <wp:extent cx="500380" cy="500380"/>
                  <wp:effectExtent l="19050" t="0" r="0" b="0"/>
                  <wp:docPr id="32"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4"/>
                          <pic:cNvPicPr>
                            <a:picLocks noChangeAspect="1" noChangeArrowheads="1"/>
                          </pic:cNvPicPr>
                        </pic:nvPicPr>
                        <pic:blipFill>
                          <a:blip r:embed="rId8"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shd w:val="clear" w:color="auto" w:fill="auto"/>
            <w:vAlign w:val="center"/>
          </w:tcPr>
          <w:p w:rsidR="00F27BC8" w:rsidRPr="009C5E28" w:rsidRDefault="00F27BC8" w:rsidP="00D50F92">
            <w:pPr>
              <w:spacing w:after="0"/>
              <w:jc w:val="center"/>
            </w:pPr>
            <w:r>
              <w:rPr>
                <w:noProof/>
                <w:lang w:eastAsia="de-DE"/>
              </w:rPr>
              <w:drawing>
                <wp:inline distT="0" distB="0" distL="0" distR="0">
                  <wp:extent cx="500380" cy="500380"/>
                  <wp:effectExtent l="19050" t="0" r="0" b="0"/>
                  <wp:docPr id="31"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shd w:val="clear" w:color="auto" w:fill="auto"/>
            <w:vAlign w:val="center"/>
          </w:tcPr>
          <w:p w:rsidR="00F27BC8" w:rsidRPr="009C5E28" w:rsidRDefault="00F27BC8" w:rsidP="00D50F92">
            <w:pPr>
              <w:spacing w:after="0"/>
              <w:jc w:val="center"/>
            </w:pPr>
            <w:r>
              <w:rPr>
                <w:noProof/>
                <w:lang w:eastAsia="de-DE"/>
              </w:rPr>
              <w:drawing>
                <wp:inline distT="0" distB="0" distL="0" distR="0">
                  <wp:extent cx="500380" cy="500380"/>
                  <wp:effectExtent l="19050" t="0" r="0" b="0"/>
                  <wp:docPr id="30"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6"/>
                          <pic:cNvPicPr>
                            <a:picLocks noChangeAspect="1" noChangeArrowheads="1"/>
                          </pic:cNvPicPr>
                        </pic:nvPicPr>
                        <pic:blipFill>
                          <a:blip r:embed="rId10"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shd w:val="clear" w:color="auto" w:fill="auto"/>
            <w:vAlign w:val="center"/>
          </w:tcPr>
          <w:p w:rsidR="00F27BC8" w:rsidRPr="009C5E28" w:rsidRDefault="00F27BC8" w:rsidP="00D50F92">
            <w:pPr>
              <w:spacing w:after="0"/>
              <w:jc w:val="center"/>
            </w:pPr>
            <w:r>
              <w:rPr>
                <w:noProof/>
                <w:lang w:eastAsia="de-DE"/>
              </w:rPr>
              <w:drawing>
                <wp:inline distT="0" distB="0" distL="0" distR="0">
                  <wp:extent cx="500380" cy="500380"/>
                  <wp:effectExtent l="19050" t="0" r="0" b="0"/>
                  <wp:docPr id="29"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7"/>
                          <pic:cNvPicPr>
                            <a:picLocks noChangeAspect="1" noChangeArrowheads="1"/>
                          </pic:cNvPicPr>
                        </pic:nvPicPr>
                        <pic:blipFill>
                          <a:blip r:embed="rId11"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F27BC8" w:rsidRPr="009C5E28" w:rsidRDefault="00F27BC8" w:rsidP="00D50F92">
            <w:pPr>
              <w:spacing w:after="0"/>
              <w:jc w:val="center"/>
            </w:pPr>
            <w:r>
              <w:rPr>
                <w:noProof/>
                <w:lang w:eastAsia="de-DE"/>
              </w:rPr>
              <w:drawing>
                <wp:inline distT="0" distB="0" distL="0" distR="0">
                  <wp:extent cx="509270" cy="509270"/>
                  <wp:effectExtent l="19050" t="0" r="5080" b="0"/>
                  <wp:docPr id="28"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8"/>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shd w:val="clear" w:color="auto" w:fill="auto"/>
            <w:vAlign w:val="center"/>
          </w:tcPr>
          <w:p w:rsidR="00F27BC8" w:rsidRPr="009C5E28" w:rsidRDefault="00F27BC8" w:rsidP="00D50F92">
            <w:pPr>
              <w:spacing w:after="0"/>
              <w:jc w:val="center"/>
            </w:pPr>
            <w:r>
              <w:rPr>
                <w:noProof/>
                <w:lang w:eastAsia="de-DE"/>
              </w:rPr>
              <w:drawing>
                <wp:inline distT="0" distB="0" distL="0" distR="0">
                  <wp:extent cx="500380" cy="500380"/>
                  <wp:effectExtent l="19050" t="0" r="0" b="0"/>
                  <wp:docPr id="27"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9"/>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F27BC8" w:rsidRPr="0052115F" w:rsidRDefault="00F27BC8" w:rsidP="00F27BC8">
      <w:pPr>
        <w:tabs>
          <w:tab w:val="left" w:pos="1701"/>
          <w:tab w:val="left" w:pos="1985"/>
        </w:tabs>
        <w:rPr>
          <w:color w:val="auto"/>
        </w:rPr>
      </w:pPr>
    </w:p>
    <w:p w:rsidR="00F27BC8" w:rsidRPr="0052115F" w:rsidRDefault="00F27BC8" w:rsidP="00F27BC8">
      <w:pPr>
        <w:tabs>
          <w:tab w:val="left" w:pos="1701"/>
          <w:tab w:val="left" w:pos="1985"/>
        </w:tabs>
        <w:ind w:left="1980" w:hanging="1980"/>
        <w:rPr>
          <w:color w:val="auto"/>
        </w:rPr>
      </w:pPr>
      <w:r w:rsidRPr="0052115F">
        <w:rPr>
          <w:color w:val="auto"/>
        </w:rPr>
        <w:t xml:space="preserve">Materialien: </w:t>
      </w:r>
      <w:r w:rsidRPr="0052115F">
        <w:rPr>
          <w:color w:val="auto"/>
        </w:rPr>
        <w:tab/>
      </w:r>
      <w:r w:rsidRPr="0052115F">
        <w:rPr>
          <w:color w:val="auto"/>
        </w:rPr>
        <w:tab/>
      </w:r>
      <w:r>
        <w:rPr>
          <w:color w:val="auto"/>
        </w:rPr>
        <w:t>Verbrennungsrohr mit zwei durchbohrten Stopfen, Ableitungsrohr mit ausgezogener Spitze und Kupferdraht als Rückschlagsicherung, Stative mit Klemmen und Muffen, Gasbrenner, zwei Porzellanschiffchen, Waschflasche, Schlauchschellen, Verbindungsschlauch, Waage, Spatel, Feuerzeug</w:t>
      </w:r>
    </w:p>
    <w:p w:rsidR="00F27BC8" w:rsidRPr="00043D60" w:rsidRDefault="00F27BC8" w:rsidP="00F27BC8">
      <w:pPr>
        <w:tabs>
          <w:tab w:val="left" w:pos="1701"/>
          <w:tab w:val="left" w:pos="1985"/>
        </w:tabs>
        <w:ind w:left="1980" w:hanging="1980"/>
        <w:rPr>
          <w:color w:val="auto"/>
        </w:rPr>
      </w:pPr>
      <w:r w:rsidRPr="0052115F">
        <w:rPr>
          <w:color w:val="auto"/>
        </w:rPr>
        <w:t>Chemikalien:</w:t>
      </w:r>
      <w:r w:rsidRPr="0052115F">
        <w:rPr>
          <w:color w:val="auto"/>
        </w:rPr>
        <w:tab/>
      </w:r>
      <w:r w:rsidRPr="0052115F">
        <w:rPr>
          <w:color w:val="auto"/>
        </w:rPr>
        <w:tab/>
      </w:r>
      <w:r>
        <w:rPr>
          <w:color w:val="auto"/>
        </w:rPr>
        <w:t>schwarzes Kupferoxid (</w:t>
      </w:r>
      <w:proofErr w:type="spellStart"/>
      <w:r>
        <w:rPr>
          <w:color w:val="auto"/>
        </w:rPr>
        <w:t>CuO</w:t>
      </w:r>
      <w:proofErr w:type="spellEnd"/>
      <w:r>
        <w:rPr>
          <w:color w:val="auto"/>
        </w:rPr>
        <w:t>), rotes Kupferoxid (Cu</w:t>
      </w:r>
      <w:r>
        <w:rPr>
          <w:color w:val="auto"/>
          <w:vertAlign w:val="subscript"/>
        </w:rPr>
        <w:t>2</w:t>
      </w:r>
      <w:r>
        <w:rPr>
          <w:color w:val="auto"/>
        </w:rPr>
        <w:t xml:space="preserve">O), </w:t>
      </w:r>
      <w:proofErr w:type="spellStart"/>
      <w:r>
        <w:rPr>
          <w:color w:val="auto"/>
        </w:rPr>
        <w:t>konz</w:t>
      </w:r>
      <w:proofErr w:type="spellEnd"/>
      <w:r>
        <w:rPr>
          <w:color w:val="auto"/>
        </w:rPr>
        <w:t>. Schwefelsäure (H</w:t>
      </w:r>
      <w:r>
        <w:rPr>
          <w:color w:val="auto"/>
          <w:vertAlign w:val="subscript"/>
        </w:rPr>
        <w:t>2</w:t>
      </w:r>
      <w:r>
        <w:rPr>
          <w:color w:val="auto"/>
        </w:rPr>
        <w:t>SO</w:t>
      </w:r>
      <w:r>
        <w:rPr>
          <w:color w:val="auto"/>
          <w:vertAlign w:val="subscript"/>
        </w:rPr>
        <w:t>4</w:t>
      </w:r>
      <w:r>
        <w:rPr>
          <w:color w:val="auto"/>
        </w:rPr>
        <w:t>), Wasserstoff (H</w:t>
      </w:r>
      <w:r>
        <w:rPr>
          <w:color w:val="auto"/>
          <w:vertAlign w:val="subscript"/>
        </w:rPr>
        <w:t>2</w:t>
      </w:r>
      <w:r>
        <w:rPr>
          <w:color w:val="auto"/>
        </w:rPr>
        <w:t>)</w:t>
      </w:r>
    </w:p>
    <w:p w:rsidR="00F27BC8" w:rsidRDefault="00F27BC8" w:rsidP="00F27BC8">
      <w:pPr>
        <w:tabs>
          <w:tab w:val="left" w:pos="1701"/>
          <w:tab w:val="left" w:pos="1985"/>
        </w:tabs>
        <w:ind w:left="1980" w:hanging="1980"/>
        <w:rPr>
          <w:color w:val="auto"/>
        </w:rPr>
      </w:pPr>
      <w:r w:rsidRPr="0052115F">
        <w:rPr>
          <w:color w:val="auto"/>
        </w:rPr>
        <w:t xml:space="preserve">Durchführung: </w:t>
      </w:r>
      <w:r w:rsidRPr="0052115F">
        <w:rPr>
          <w:color w:val="auto"/>
        </w:rPr>
        <w:tab/>
      </w:r>
      <w:r w:rsidRPr="0052115F">
        <w:rPr>
          <w:color w:val="auto"/>
        </w:rPr>
        <w:tab/>
      </w:r>
      <w:r>
        <w:rPr>
          <w:color w:val="auto"/>
        </w:rPr>
        <w:t xml:space="preserve">Die Massen der Porzellanschiffchen werden bestimmt. Ein Schiffchen wird mit 1,0 g schwarzen Kupferoxid </w:t>
      </w:r>
      <w:proofErr w:type="spellStart"/>
      <w:r>
        <w:rPr>
          <w:color w:val="auto"/>
        </w:rPr>
        <w:t>befüllt</w:t>
      </w:r>
      <w:proofErr w:type="spellEnd"/>
      <w:r>
        <w:rPr>
          <w:color w:val="auto"/>
        </w:rPr>
        <w:t>, das zweite Schiffchen mit 1,0 g roten Kupferoxid. Die Schiffchen werden möglichst mittig im Verbrennung</w:t>
      </w:r>
      <w:r>
        <w:rPr>
          <w:color w:val="auto"/>
        </w:rPr>
        <w:t>s</w:t>
      </w:r>
      <w:r>
        <w:rPr>
          <w:color w:val="auto"/>
        </w:rPr>
        <w:t>rohr platziert. Der Aufbau der Versuchsapparatur ist Abb.1 zu entnehmen. Nach Anschluss der Wasserstoffgasflasche wird langsam Wasserstoff durch die Anlage geleitet.</w:t>
      </w:r>
      <w:r w:rsidRPr="002528BD">
        <w:rPr>
          <w:color w:val="auto"/>
        </w:rPr>
        <w:t xml:space="preserve"> Direkt nach dem Öffnen des Gasventils sollte das am Ableitungsrohr ausströmende Gas in einem </w:t>
      </w:r>
      <w:r w:rsidRPr="002528BD">
        <w:rPr>
          <w:color w:val="auto"/>
        </w:rPr>
        <w:lastRenderedPageBreak/>
        <w:t>umgekehrten Reagenzglas au</w:t>
      </w:r>
      <w:r w:rsidRPr="002528BD">
        <w:rPr>
          <w:color w:val="auto"/>
        </w:rPr>
        <w:t>f</w:t>
      </w:r>
      <w:r w:rsidRPr="002528BD">
        <w:rPr>
          <w:color w:val="auto"/>
        </w:rPr>
        <w:t>gefangen werden. Die Knallgasprobe wird durchgeführt. Etwa nach 10 S</w:t>
      </w:r>
      <w:r w:rsidRPr="002528BD">
        <w:rPr>
          <w:color w:val="auto"/>
        </w:rPr>
        <w:t>e</w:t>
      </w:r>
      <w:r w:rsidRPr="002528BD">
        <w:rPr>
          <w:color w:val="auto"/>
        </w:rPr>
        <w:t>kunden wird erneut Gas aufgefangen und im Anschluss durch die Knallga</w:t>
      </w:r>
      <w:r w:rsidRPr="002528BD">
        <w:rPr>
          <w:color w:val="auto"/>
        </w:rPr>
        <w:t>s</w:t>
      </w:r>
      <w:r w:rsidRPr="002528BD">
        <w:rPr>
          <w:color w:val="auto"/>
        </w:rPr>
        <w:t>probe auf Reinheit überprüft. Das an der Düse ausströmende Gas darf erst entzündet werden, wenn die Knallgasprobe negativ ausfällt, d.h. nur ein le</w:t>
      </w:r>
      <w:r w:rsidRPr="002528BD">
        <w:rPr>
          <w:color w:val="auto"/>
        </w:rPr>
        <w:t>i</w:t>
      </w:r>
      <w:r w:rsidRPr="002528BD">
        <w:rPr>
          <w:color w:val="auto"/>
        </w:rPr>
        <w:t>ses „</w:t>
      </w:r>
      <w:proofErr w:type="spellStart"/>
      <w:r w:rsidRPr="002528BD">
        <w:rPr>
          <w:color w:val="auto"/>
        </w:rPr>
        <w:t>Plopp</w:t>
      </w:r>
      <w:proofErr w:type="spellEnd"/>
      <w:r w:rsidRPr="002528BD">
        <w:rPr>
          <w:color w:val="auto"/>
        </w:rPr>
        <w:t>“ zu vernehmen ist.  Bei einem lauten „Pfiff“ darf noch nicht g</w:t>
      </w:r>
      <w:r w:rsidRPr="002528BD">
        <w:rPr>
          <w:color w:val="auto"/>
        </w:rPr>
        <w:t>e</w:t>
      </w:r>
      <w:r w:rsidRPr="002528BD">
        <w:rPr>
          <w:color w:val="auto"/>
        </w:rPr>
        <w:t xml:space="preserve">zündet werden, da das aufgefangene Gas ein Gemisch aus Wasserstoff und Sauerstoff ist. Dieses Knallgas ist ein explosives Gasgemisch, welches unter keinen Umständen entzündet werden darf. </w:t>
      </w:r>
      <w:r>
        <w:rPr>
          <w:color w:val="auto"/>
        </w:rPr>
        <w:t>Die Reaktion wird durch Erhi</w:t>
      </w:r>
      <w:r>
        <w:rPr>
          <w:color w:val="auto"/>
        </w:rPr>
        <w:t>t</w:t>
      </w:r>
      <w:r>
        <w:rPr>
          <w:color w:val="auto"/>
        </w:rPr>
        <w:t>zen des Verbrennungsrohres mittels Gasbrenner gestartet. Beendet ist sie, wenn in beiden Schiffchen ein rot glänzendes Produkt zu erkennen ist (Dauer: etwa 5 Minuten). Die Wasserstoffgaszufuhr wird erst nach Abkü</w:t>
      </w:r>
      <w:r>
        <w:rPr>
          <w:color w:val="auto"/>
        </w:rPr>
        <w:t>h</w:t>
      </w:r>
      <w:r>
        <w:rPr>
          <w:color w:val="auto"/>
        </w:rPr>
        <w:t>len des Verbrennungsrohres unterbrochen. Sind die Schiffchen erkaltet, können sie dem Rohr entnommen und gewogen werden.</w:t>
      </w:r>
    </w:p>
    <w:p w:rsidR="00F27BC8" w:rsidRDefault="00F27BC8" w:rsidP="00F27BC8">
      <w:pPr>
        <w:tabs>
          <w:tab w:val="left" w:pos="1701"/>
          <w:tab w:val="left" w:pos="1985"/>
        </w:tabs>
        <w:ind w:left="1980" w:hanging="1980"/>
        <w:rPr>
          <w:color w:val="auto"/>
        </w:rPr>
      </w:pPr>
    </w:p>
    <w:p w:rsidR="00F27BC8" w:rsidRDefault="00F27BC8" w:rsidP="00F27BC8">
      <w:pPr>
        <w:tabs>
          <w:tab w:val="left" w:pos="1701"/>
          <w:tab w:val="left" w:pos="1985"/>
        </w:tabs>
        <w:ind w:left="1980" w:hanging="1980"/>
        <w:rPr>
          <w:color w:val="auto"/>
        </w:rPr>
      </w:pPr>
      <w:r>
        <w:rPr>
          <w:noProof/>
          <w:color w:val="auto"/>
          <w:lang w:eastAsia="de-DE"/>
        </w:rPr>
        <w:drawing>
          <wp:anchor distT="0" distB="0" distL="114300" distR="114300" simplePos="0" relativeHeight="251661312" behindDoc="1" locked="0" layoutInCell="1" allowOverlap="1">
            <wp:simplePos x="0" y="0"/>
            <wp:positionH relativeFrom="column">
              <wp:posOffset>1310005</wp:posOffset>
            </wp:positionH>
            <wp:positionV relativeFrom="paragraph">
              <wp:posOffset>76200</wp:posOffset>
            </wp:positionV>
            <wp:extent cx="3762375" cy="2247900"/>
            <wp:effectExtent l="19050" t="0" r="9525" b="0"/>
            <wp:wrapTight wrapText="bothSides">
              <wp:wrapPolygon edited="0">
                <wp:start x="-109" y="0"/>
                <wp:lineTo x="-109" y="21417"/>
                <wp:lineTo x="21655" y="21417"/>
                <wp:lineTo x="21655" y="0"/>
                <wp:lineTo x="-109" y="0"/>
              </wp:wrapPolygon>
            </wp:wrapTight>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3762375" cy="2247900"/>
                    </a:xfrm>
                    <a:prstGeom prst="rect">
                      <a:avLst/>
                    </a:prstGeom>
                    <a:noFill/>
                    <a:ln w="9525">
                      <a:noFill/>
                      <a:miter lim="800000"/>
                      <a:headEnd/>
                      <a:tailEnd/>
                    </a:ln>
                  </pic:spPr>
                </pic:pic>
              </a:graphicData>
            </a:graphic>
          </wp:anchor>
        </w:drawing>
      </w:r>
    </w:p>
    <w:p w:rsidR="00F27BC8" w:rsidRDefault="00F27BC8" w:rsidP="00F27BC8">
      <w:pPr>
        <w:tabs>
          <w:tab w:val="left" w:pos="1701"/>
          <w:tab w:val="left" w:pos="1985"/>
        </w:tabs>
        <w:ind w:left="1980" w:hanging="1980"/>
        <w:rPr>
          <w:color w:val="auto"/>
        </w:rPr>
      </w:pPr>
    </w:p>
    <w:p w:rsidR="00F27BC8" w:rsidRDefault="00F27BC8" w:rsidP="00F27BC8">
      <w:pPr>
        <w:tabs>
          <w:tab w:val="left" w:pos="1701"/>
          <w:tab w:val="left" w:pos="1985"/>
        </w:tabs>
        <w:ind w:left="1980" w:hanging="1980"/>
        <w:rPr>
          <w:color w:val="auto"/>
        </w:rPr>
      </w:pPr>
    </w:p>
    <w:p w:rsidR="00F27BC8" w:rsidRDefault="00F27BC8" w:rsidP="00F27BC8">
      <w:pPr>
        <w:tabs>
          <w:tab w:val="left" w:pos="1701"/>
          <w:tab w:val="left" w:pos="1985"/>
        </w:tabs>
        <w:ind w:left="1980" w:hanging="1980"/>
        <w:rPr>
          <w:color w:val="auto"/>
        </w:rPr>
      </w:pPr>
    </w:p>
    <w:p w:rsidR="00F27BC8" w:rsidRDefault="00F27BC8" w:rsidP="00F27BC8">
      <w:pPr>
        <w:tabs>
          <w:tab w:val="left" w:pos="1701"/>
          <w:tab w:val="left" w:pos="1985"/>
        </w:tabs>
        <w:ind w:left="1980" w:hanging="1980"/>
        <w:rPr>
          <w:color w:val="auto"/>
        </w:rPr>
      </w:pPr>
    </w:p>
    <w:p w:rsidR="00F27BC8" w:rsidRDefault="00F27BC8" w:rsidP="00F27BC8">
      <w:pPr>
        <w:tabs>
          <w:tab w:val="left" w:pos="1701"/>
          <w:tab w:val="left" w:pos="1985"/>
        </w:tabs>
        <w:ind w:left="1980" w:hanging="1980"/>
        <w:rPr>
          <w:color w:val="auto"/>
        </w:rPr>
      </w:pPr>
    </w:p>
    <w:p w:rsidR="00F27BC8" w:rsidRDefault="00F27BC8" w:rsidP="00F27BC8">
      <w:pPr>
        <w:tabs>
          <w:tab w:val="left" w:pos="1701"/>
          <w:tab w:val="left" w:pos="1985"/>
        </w:tabs>
        <w:rPr>
          <w:color w:val="auto"/>
        </w:rPr>
      </w:pPr>
    </w:p>
    <w:p w:rsidR="00F27BC8" w:rsidRDefault="00F27BC8" w:rsidP="00F27BC8">
      <w:pPr>
        <w:tabs>
          <w:tab w:val="left" w:pos="1701"/>
          <w:tab w:val="left" w:pos="1985"/>
        </w:tabs>
        <w:ind w:left="1980"/>
        <w:rPr>
          <w:color w:val="auto"/>
        </w:rPr>
      </w:pPr>
      <w:r>
        <w:rPr>
          <w:color w:val="auto"/>
        </w:rPr>
        <w:tab/>
      </w:r>
      <w:r w:rsidRPr="0052115F">
        <w:rPr>
          <w:color w:val="auto"/>
          <w:sz w:val="18"/>
        </w:rPr>
        <w:t xml:space="preserve">Abb. </w:t>
      </w:r>
      <w:r w:rsidRPr="0052115F">
        <w:rPr>
          <w:color w:val="auto"/>
          <w:sz w:val="18"/>
        </w:rPr>
        <w:fldChar w:fldCharType="begin"/>
      </w:r>
      <w:r w:rsidRPr="0052115F">
        <w:rPr>
          <w:color w:val="auto"/>
          <w:sz w:val="18"/>
        </w:rPr>
        <w:instrText xml:space="preserve"> SEQ Abb. \* ARABIC </w:instrText>
      </w:r>
      <w:r w:rsidRPr="0052115F">
        <w:rPr>
          <w:color w:val="auto"/>
          <w:sz w:val="18"/>
        </w:rPr>
        <w:fldChar w:fldCharType="separate"/>
      </w:r>
      <w:r>
        <w:rPr>
          <w:noProof/>
          <w:color w:val="auto"/>
          <w:sz w:val="18"/>
        </w:rPr>
        <w:t>1</w:t>
      </w:r>
      <w:r w:rsidRPr="0052115F">
        <w:rPr>
          <w:color w:val="auto"/>
          <w:sz w:val="18"/>
        </w:rPr>
        <w:fldChar w:fldCharType="end"/>
      </w:r>
      <w:r w:rsidRPr="0052115F">
        <w:rPr>
          <w:color w:val="auto"/>
          <w:sz w:val="18"/>
        </w:rPr>
        <w:t xml:space="preserve"> - </w:t>
      </w:r>
      <w:r w:rsidRPr="0052115F">
        <w:rPr>
          <w:noProof/>
          <w:color w:val="auto"/>
          <w:sz w:val="18"/>
        </w:rPr>
        <w:t xml:space="preserve"> </w:t>
      </w:r>
      <w:r>
        <w:rPr>
          <w:noProof/>
          <w:color w:val="auto"/>
          <w:sz w:val="18"/>
        </w:rPr>
        <w:t>Versuchsapparatur zur Bestimmung der Massenverhältnisse von Kupfer und Sauerstoff in den Kupferoxiden (Anmerkung: Am linken Auslassrohr der Waschflasche wird über einen Schlauch die Wasserstoffgasflasche angeschlossen).</w:t>
      </w:r>
    </w:p>
    <w:p w:rsidR="00F27BC8" w:rsidRDefault="00F27BC8" w:rsidP="00F27BC8">
      <w:pPr>
        <w:tabs>
          <w:tab w:val="left" w:pos="1701"/>
          <w:tab w:val="left" w:pos="1985"/>
        </w:tabs>
        <w:ind w:left="1980" w:hanging="1980"/>
        <w:rPr>
          <w:color w:val="auto"/>
        </w:rPr>
      </w:pPr>
    </w:p>
    <w:p w:rsidR="00F27BC8" w:rsidRDefault="00F27BC8" w:rsidP="00F27BC8">
      <w:pPr>
        <w:tabs>
          <w:tab w:val="left" w:pos="1701"/>
          <w:tab w:val="left" w:pos="1985"/>
        </w:tabs>
        <w:ind w:left="1980" w:hanging="1980"/>
        <w:rPr>
          <w:color w:val="auto"/>
        </w:rPr>
      </w:pPr>
      <w:r w:rsidRPr="0052115F">
        <w:rPr>
          <w:color w:val="auto"/>
        </w:rPr>
        <w:t>Beobachtung:</w:t>
      </w:r>
      <w:r w:rsidRPr="0052115F">
        <w:rPr>
          <w:color w:val="auto"/>
        </w:rPr>
        <w:tab/>
      </w:r>
      <w:r w:rsidRPr="0052115F">
        <w:rPr>
          <w:color w:val="auto"/>
        </w:rPr>
        <w:tab/>
      </w:r>
      <w:r>
        <w:rPr>
          <w:color w:val="auto"/>
        </w:rPr>
        <w:t>Zu Beginn befindet sich in den Porzellanschiffchen rotes und schwarzes, pulvrig-festes Kupferoxid. Nach der Reaktion liegt in beiden Schiffchen ein rot-glänzender Feststoff vor. Das Reaktionsprodukt im ersten Schiffchen wiegt 0,78 g und das im zweiten 0,88 g. An den Rändern des Verbre</w:t>
      </w:r>
      <w:r>
        <w:rPr>
          <w:color w:val="auto"/>
        </w:rPr>
        <w:t>n</w:t>
      </w:r>
      <w:r>
        <w:rPr>
          <w:color w:val="auto"/>
        </w:rPr>
        <w:t>nungsrohrs lagert sich Wasser ab.</w:t>
      </w:r>
    </w:p>
    <w:p w:rsidR="00F27BC8" w:rsidRDefault="00F27BC8" w:rsidP="00F27BC8">
      <w:pPr>
        <w:tabs>
          <w:tab w:val="left" w:pos="1701"/>
          <w:tab w:val="left" w:pos="1985"/>
        </w:tabs>
        <w:ind w:left="1980" w:hanging="1980"/>
        <w:rPr>
          <w:color w:val="auto"/>
        </w:rPr>
      </w:pPr>
    </w:p>
    <w:p w:rsidR="00F27BC8" w:rsidRPr="0052115F" w:rsidRDefault="00F27BC8" w:rsidP="00F27BC8">
      <w:pPr>
        <w:tabs>
          <w:tab w:val="left" w:pos="1701"/>
          <w:tab w:val="left" w:pos="1985"/>
        </w:tabs>
        <w:ind w:left="1980" w:hanging="1980"/>
        <w:rPr>
          <w:color w:val="auto"/>
        </w:rPr>
      </w:pPr>
      <w:r w:rsidRPr="00C1706F">
        <w:rPr>
          <w:noProof/>
        </w:rPr>
        <w:pict>
          <v:shape id="_x0000_s1028" type="#_x0000_t202" style="position:absolute;left:0;text-align:left;margin-left:101.1pt;margin-top:53.8pt;width:325.85pt;height:.05pt;z-index:251663360" wrapcoords="-50 0 -50 21046 21600 21046 21600 0 -50 0" stroked="f">
            <v:textbox style="mso-fit-shape-to-text:t" inset="0,0,0,0">
              <w:txbxContent>
                <w:p w:rsidR="00F27BC8" w:rsidRPr="000F64F1" w:rsidRDefault="00F27BC8" w:rsidP="00F27BC8">
                  <w:pPr>
                    <w:pStyle w:val="Beschriftung"/>
                    <w:rPr>
                      <w:noProof/>
                    </w:rPr>
                  </w:pPr>
                  <w:r>
                    <w:rPr>
                      <w:noProof/>
                    </w:rPr>
                    <w:t>Abb.2- Reaktionsprodukt (im linken Schiffchen war als Edukt rotes Kupferoxid, im rechten Schiffchen schwarzes).</w:t>
                  </w:r>
                </w:p>
              </w:txbxContent>
            </v:textbox>
            <w10:wrap type="tight"/>
          </v:shape>
        </w:pict>
      </w:r>
      <w:r>
        <w:rPr>
          <w:noProof/>
          <w:color w:val="auto"/>
          <w:lang w:eastAsia="de-DE"/>
        </w:rPr>
        <w:drawing>
          <wp:anchor distT="0" distB="0" distL="114300" distR="114300" simplePos="0" relativeHeight="251662336" behindDoc="1" locked="0" layoutInCell="1" allowOverlap="1">
            <wp:simplePos x="0" y="0"/>
            <wp:positionH relativeFrom="column">
              <wp:posOffset>1283970</wp:posOffset>
            </wp:positionH>
            <wp:positionV relativeFrom="paragraph">
              <wp:posOffset>-123825</wp:posOffset>
            </wp:positionV>
            <wp:extent cx="4138295" cy="749935"/>
            <wp:effectExtent l="19050" t="0" r="0" b="0"/>
            <wp:wrapTight wrapText="bothSides">
              <wp:wrapPolygon edited="0">
                <wp:start x="-99" y="0"/>
                <wp:lineTo x="-99" y="20850"/>
                <wp:lineTo x="21577" y="20850"/>
                <wp:lineTo x="21577" y="0"/>
                <wp:lineTo x="-99" y="0"/>
              </wp:wrapPolygon>
            </wp:wrapTight>
            <wp:docPr id="36" name="Grafik 35" descr="DSC_0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598.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4138295" cy="749935"/>
                    </a:xfrm>
                    <a:prstGeom prst="rect">
                      <a:avLst/>
                    </a:prstGeom>
                  </pic:spPr>
                </pic:pic>
              </a:graphicData>
            </a:graphic>
          </wp:anchor>
        </w:drawing>
      </w:r>
    </w:p>
    <w:p w:rsidR="00F27BC8" w:rsidRDefault="00F27BC8" w:rsidP="00F27BC8">
      <w:pPr>
        <w:tabs>
          <w:tab w:val="left" w:pos="1701"/>
          <w:tab w:val="left" w:pos="1985"/>
        </w:tabs>
        <w:ind w:left="1980" w:hanging="1980"/>
        <w:rPr>
          <w:color w:val="auto"/>
        </w:rPr>
      </w:pPr>
    </w:p>
    <w:p w:rsidR="00F27BC8" w:rsidRDefault="00F27BC8" w:rsidP="00F27BC8">
      <w:pPr>
        <w:tabs>
          <w:tab w:val="left" w:pos="1701"/>
          <w:tab w:val="left" w:pos="1985"/>
        </w:tabs>
        <w:ind w:left="1980" w:hanging="1980"/>
        <w:rPr>
          <w:color w:val="auto"/>
        </w:rPr>
      </w:pPr>
    </w:p>
    <w:p w:rsidR="00F27BC8" w:rsidRDefault="00F27BC8" w:rsidP="00F27BC8">
      <w:pPr>
        <w:tabs>
          <w:tab w:val="left" w:pos="1701"/>
          <w:tab w:val="left" w:pos="1985"/>
        </w:tabs>
        <w:ind w:left="1980" w:hanging="1980"/>
        <w:rPr>
          <w:color w:val="auto"/>
        </w:rPr>
      </w:pPr>
      <w:r w:rsidRPr="0052115F">
        <w:rPr>
          <w:color w:val="auto"/>
        </w:rPr>
        <w:t xml:space="preserve">Deutung: </w:t>
      </w:r>
      <w:r w:rsidRPr="0052115F">
        <w:rPr>
          <w:color w:val="auto"/>
        </w:rPr>
        <w:tab/>
      </w:r>
      <w:r w:rsidRPr="0052115F">
        <w:rPr>
          <w:color w:val="auto"/>
        </w:rPr>
        <w:tab/>
      </w:r>
      <w:r>
        <w:rPr>
          <w:color w:val="auto"/>
        </w:rPr>
        <w:t xml:space="preserve">Die Kupferoxide werden unter Sauerstoffabgabe zu </w:t>
      </w:r>
      <w:proofErr w:type="gramStart"/>
      <w:r>
        <w:rPr>
          <w:color w:val="auto"/>
        </w:rPr>
        <w:t>elementaren</w:t>
      </w:r>
      <w:proofErr w:type="gramEnd"/>
      <w:r>
        <w:rPr>
          <w:color w:val="auto"/>
        </w:rPr>
        <w:t xml:space="preserve"> Kupfer reduziert. Wasser bildet sich. Kupfer und Sauerstoff sind im schwarzen Kupferoxid im Verhältnis von 4:1 miteinander verbunden, im roten Ku</w:t>
      </w:r>
      <w:r>
        <w:rPr>
          <w:color w:val="auto"/>
        </w:rPr>
        <w:t>p</w:t>
      </w:r>
      <w:r>
        <w:rPr>
          <w:color w:val="auto"/>
        </w:rPr>
        <w:t xml:space="preserve">feroxid im Verhältnis von 8:1. Durch Vergleich dieser Massenverhältnisse lässt sich das Verhältnis von Kupfer in den Oxiden bestimmen. Es liegt bei </w:t>
      </w:r>
      <w:r w:rsidRPr="002528BD">
        <w:rPr>
          <w:color w:val="auto"/>
        </w:rPr>
        <w:t>1:2.</w:t>
      </w:r>
    </w:p>
    <w:p w:rsidR="00F27BC8" w:rsidRDefault="00F27BC8" w:rsidP="00F27BC8">
      <w:pPr>
        <w:tabs>
          <w:tab w:val="left" w:pos="1701"/>
          <w:tab w:val="left" w:pos="1985"/>
        </w:tabs>
        <w:ind w:left="1980" w:hanging="1980"/>
        <w:rPr>
          <w:color w:val="auto"/>
        </w:rPr>
      </w:pPr>
    </w:p>
    <w:p w:rsidR="00F27BC8" w:rsidRPr="002528BD" w:rsidRDefault="00F27BC8" w:rsidP="00F27BC8">
      <w:pPr>
        <w:tabs>
          <w:tab w:val="left" w:pos="1701"/>
          <w:tab w:val="left" w:pos="1985"/>
        </w:tabs>
        <w:rPr>
          <w:color w:val="auto"/>
        </w:rPr>
      </w:pPr>
      <w:r>
        <w:rPr>
          <w:color w:val="auto"/>
        </w:rPr>
        <w:tab/>
      </w:r>
      <w:r>
        <w:rPr>
          <w:color w:val="auto"/>
        </w:rPr>
        <w:tab/>
      </w:r>
      <w:r w:rsidRPr="002528BD">
        <w:rPr>
          <w:color w:val="auto"/>
        </w:rPr>
        <w:t>Beispielhafte Rechnung:</w:t>
      </w:r>
    </w:p>
    <w:tbl>
      <w:tblPr>
        <w:tblStyle w:val="Tabellengitternetz"/>
        <w:tblW w:w="0" w:type="auto"/>
        <w:tblInd w:w="1980" w:type="dxa"/>
        <w:tblLook w:val="04A0"/>
      </w:tblPr>
      <w:tblGrid>
        <w:gridCol w:w="3654"/>
        <w:gridCol w:w="3654"/>
      </w:tblGrid>
      <w:tr w:rsidR="00F27BC8" w:rsidRPr="002528BD" w:rsidTr="00D50F92">
        <w:tc>
          <w:tcPr>
            <w:tcW w:w="3654" w:type="dxa"/>
          </w:tcPr>
          <w:p w:rsidR="00F27BC8" w:rsidRPr="002528BD" w:rsidRDefault="00F27BC8" w:rsidP="00D50F92">
            <w:pPr>
              <w:tabs>
                <w:tab w:val="left" w:pos="1701"/>
                <w:tab w:val="left" w:pos="1985"/>
              </w:tabs>
              <w:rPr>
                <w:b/>
                <w:color w:val="auto"/>
              </w:rPr>
            </w:pPr>
            <w:r w:rsidRPr="002528BD">
              <w:rPr>
                <w:b/>
                <w:color w:val="auto"/>
              </w:rPr>
              <w:t>rotes Kupferoxid (Cu</w:t>
            </w:r>
            <w:r w:rsidRPr="002528BD">
              <w:rPr>
                <w:b/>
                <w:color w:val="auto"/>
                <w:vertAlign w:val="subscript"/>
              </w:rPr>
              <w:t>2</w:t>
            </w:r>
            <w:r w:rsidRPr="002528BD">
              <w:rPr>
                <w:b/>
                <w:color w:val="auto"/>
              </w:rPr>
              <w:t>O)</w:t>
            </w:r>
          </w:p>
        </w:tc>
        <w:tc>
          <w:tcPr>
            <w:tcW w:w="3654" w:type="dxa"/>
          </w:tcPr>
          <w:p w:rsidR="00F27BC8" w:rsidRPr="002528BD" w:rsidRDefault="00F27BC8" w:rsidP="00D50F92">
            <w:pPr>
              <w:tabs>
                <w:tab w:val="left" w:pos="1701"/>
                <w:tab w:val="left" w:pos="1985"/>
              </w:tabs>
              <w:rPr>
                <w:b/>
                <w:color w:val="auto"/>
              </w:rPr>
            </w:pPr>
            <w:r w:rsidRPr="002528BD">
              <w:rPr>
                <w:b/>
                <w:color w:val="auto"/>
              </w:rPr>
              <w:t>schwarzes Kupferoxid (</w:t>
            </w:r>
            <w:proofErr w:type="spellStart"/>
            <w:r w:rsidRPr="002528BD">
              <w:rPr>
                <w:b/>
                <w:color w:val="auto"/>
              </w:rPr>
              <w:t>CuO</w:t>
            </w:r>
            <w:proofErr w:type="spellEnd"/>
            <w:r w:rsidRPr="002528BD">
              <w:rPr>
                <w:b/>
                <w:color w:val="auto"/>
              </w:rPr>
              <w:t>)</w:t>
            </w:r>
          </w:p>
        </w:tc>
      </w:tr>
      <w:tr w:rsidR="00F27BC8" w:rsidRPr="002528BD" w:rsidTr="00D50F92">
        <w:tc>
          <w:tcPr>
            <w:tcW w:w="3654" w:type="dxa"/>
          </w:tcPr>
          <w:p w:rsidR="00F27BC8" w:rsidRPr="002528BD" w:rsidRDefault="00F27BC8" w:rsidP="00D50F92">
            <w:pPr>
              <w:tabs>
                <w:tab w:val="left" w:pos="1701"/>
                <w:tab w:val="left" w:pos="1985"/>
              </w:tabs>
              <w:rPr>
                <w:color w:val="auto"/>
              </w:rPr>
            </w:pPr>
            <w:proofErr w:type="spellStart"/>
            <w:r w:rsidRPr="002528BD">
              <w:rPr>
                <w:color w:val="auto"/>
              </w:rPr>
              <w:t>m</w:t>
            </w:r>
            <w:r w:rsidRPr="002528BD">
              <w:rPr>
                <w:color w:val="auto"/>
                <w:vertAlign w:val="subscript"/>
              </w:rPr>
              <w:t>Einwaage</w:t>
            </w:r>
            <w:proofErr w:type="spellEnd"/>
            <w:r w:rsidRPr="002528BD">
              <w:rPr>
                <w:color w:val="auto"/>
              </w:rPr>
              <w:t>= 1,0 g</w:t>
            </w:r>
          </w:p>
        </w:tc>
        <w:tc>
          <w:tcPr>
            <w:tcW w:w="3654" w:type="dxa"/>
          </w:tcPr>
          <w:p w:rsidR="00F27BC8" w:rsidRPr="002528BD" w:rsidRDefault="00F27BC8" w:rsidP="00D50F92">
            <w:pPr>
              <w:tabs>
                <w:tab w:val="left" w:pos="1701"/>
                <w:tab w:val="left" w:pos="1985"/>
              </w:tabs>
              <w:rPr>
                <w:color w:val="auto"/>
              </w:rPr>
            </w:pPr>
            <w:proofErr w:type="spellStart"/>
            <w:r w:rsidRPr="002528BD">
              <w:rPr>
                <w:color w:val="auto"/>
              </w:rPr>
              <w:t>m</w:t>
            </w:r>
            <w:r w:rsidRPr="002528BD">
              <w:rPr>
                <w:color w:val="auto"/>
                <w:vertAlign w:val="subscript"/>
              </w:rPr>
              <w:t>Einwaage</w:t>
            </w:r>
            <w:proofErr w:type="spellEnd"/>
            <w:r w:rsidRPr="002528BD">
              <w:rPr>
                <w:color w:val="auto"/>
              </w:rPr>
              <w:t>= 1,0 g</w:t>
            </w:r>
          </w:p>
        </w:tc>
      </w:tr>
      <w:tr w:rsidR="00F27BC8" w:rsidRPr="002528BD" w:rsidTr="00D50F92">
        <w:tc>
          <w:tcPr>
            <w:tcW w:w="3654" w:type="dxa"/>
          </w:tcPr>
          <w:p w:rsidR="00F27BC8" w:rsidRPr="002528BD" w:rsidRDefault="00F27BC8" w:rsidP="00D50F92">
            <w:pPr>
              <w:tabs>
                <w:tab w:val="left" w:pos="1701"/>
                <w:tab w:val="left" w:pos="1985"/>
              </w:tabs>
              <w:rPr>
                <w:color w:val="auto"/>
              </w:rPr>
            </w:pPr>
            <w:proofErr w:type="spellStart"/>
            <w:r w:rsidRPr="002528BD">
              <w:rPr>
                <w:color w:val="auto"/>
              </w:rPr>
              <w:t>m</w:t>
            </w:r>
            <w:r w:rsidRPr="002528BD">
              <w:rPr>
                <w:color w:val="auto"/>
                <w:vertAlign w:val="subscript"/>
              </w:rPr>
              <w:t>Cu</w:t>
            </w:r>
            <w:proofErr w:type="spellEnd"/>
            <w:r w:rsidRPr="002528BD">
              <w:rPr>
                <w:color w:val="auto"/>
                <w:vertAlign w:val="subscript"/>
              </w:rPr>
              <w:t>(I)</w:t>
            </w:r>
            <w:r w:rsidRPr="002528BD">
              <w:rPr>
                <w:color w:val="auto"/>
              </w:rPr>
              <w:t>= 0,88 g</w:t>
            </w:r>
          </w:p>
        </w:tc>
        <w:tc>
          <w:tcPr>
            <w:tcW w:w="3654" w:type="dxa"/>
          </w:tcPr>
          <w:p w:rsidR="00F27BC8" w:rsidRPr="002528BD" w:rsidRDefault="00F27BC8" w:rsidP="00D50F92">
            <w:pPr>
              <w:tabs>
                <w:tab w:val="left" w:pos="1701"/>
                <w:tab w:val="left" w:pos="1985"/>
              </w:tabs>
              <w:rPr>
                <w:color w:val="auto"/>
              </w:rPr>
            </w:pPr>
            <w:proofErr w:type="spellStart"/>
            <w:r w:rsidRPr="002528BD">
              <w:rPr>
                <w:color w:val="auto"/>
              </w:rPr>
              <w:t>m</w:t>
            </w:r>
            <w:r w:rsidRPr="002528BD">
              <w:rPr>
                <w:color w:val="auto"/>
                <w:vertAlign w:val="subscript"/>
              </w:rPr>
              <w:t>Cu</w:t>
            </w:r>
            <w:proofErr w:type="spellEnd"/>
            <w:r w:rsidRPr="002528BD">
              <w:rPr>
                <w:color w:val="auto"/>
                <w:vertAlign w:val="subscript"/>
              </w:rPr>
              <w:t>(II)</w:t>
            </w:r>
            <w:r w:rsidRPr="002528BD">
              <w:rPr>
                <w:color w:val="auto"/>
              </w:rPr>
              <w:t>= 0,78 g</w:t>
            </w:r>
          </w:p>
        </w:tc>
      </w:tr>
      <w:tr w:rsidR="00F27BC8" w:rsidRPr="002528BD" w:rsidTr="00D50F92">
        <w:tc>
          <w:tcPr>
            <w:tcW w:w="3654" w:type="dxa"/>
          </w:tcPr>
          <w:p w:rsidR="00F27BC8" w:rsidRPr="002528BD" w:rsidRDefault="00F27BC8" w:rsidP="00D50F92">
            <w:pPr>
              <w:tabs>
                <w:tab w:val="left" w:pos="1701"/>
                <w:tab w:val="left" w:pos="1985"/>
              </w:tabs>
              <w:rPr>
                <w:color w:val="auto"/>
              </w:rPr>
            </w:pPr>
            <w:proofErr w:type="spellStart"/>
            <w:r w:rsidRPr="002528BD">
              <w:rPr>
                <w:color w:val="auto"/>
              </w:rPr>
              <w:t>m</w:t>
            </w:r>
            <w:r w:rsidRPr="002528BD">
              <w:rPr>
                <w:color w:val="auto"/>
                <w:vertAlign w:val="subscript"/>
              </w:rPr>
              <w:t>O</w:t>
            </w:r>
            <w:proofErr w:type="spellEnd"/>
            <w:r w:rsidRPr="002528BD">
              <w:rPr>
                <w:color w:val="auto"/>
              </w:rPr>
              <w:t>= 0,12 g</w:t>
            </w:r>
          </w:p>
        </w:tc>
        <w:tc>
          <w:tcPr>
            <w:tcW w:w="3654" w:type="dxa"/>
          </w:tcPr>
          <w:p w:rsidR="00F27BC8" w:rsidRPr="002528BD" w:rsidRDefault="00F27BC8" w:rsidP="00D50F92">
            <w:pPr>
              <w:tabs>
                <w:tab w:val="left" w:pos="1701"/>
                <w:tab w:val="left" w:pos="1985"/>
              </w:tabs>
              <w:rPr>
                <w:color w:val="auto"/>
              </w:rPr>
            </w:pPr>
            <w:proofErr w:type="spellStart"/>
            <w:r w:rsidRPr="002528BD">
              <w:rPr>
                <w:color w:val="auto"/>
              </w:rPr>
              <w:t>m</w:t>
            </w:r>
            <w:r w:rsidRPr="002528BD">
              <w:rPr>
                <w:color w:val="auto"/>
                <w:vertAlign w:val="subscript"/>
              </w:rPr>
              <w:t>O</w:t>
            </w:r>
            <w:proofErr w:type="spellEnd"/>
            <w:r w:rsidRPr="002528BD">
              <w:rPr>
                <w:color w:val="auto"/>
              </w:rPr>
              <w:t>= 0,22 g</w:t>
            </w:r>
          </w:p>
        </w:tc>
      </w:tr>
      <w:tr w:rsidR="00F27BC8" w:rsidRPr="002528BD" w:rsidTr="00D50F92">
        <w:tc>
          <w:tcPr>
            <w:tcW w:w="3654" w:type="dxa"/>
          </w:tcPr>
          <w:p w:rsidR="00F27BC8" w:rsidRPr="002528BD" w:rsidRDefault="00F27BC8" w:rsidP="00D50F92">
            <w:pPr>
              <w:tabs>
                <w:tab w:val="left" w:pos="1701"/>
                <w:tab w:val="left" w:pos="1985"/>
              </w:tabs>
              <w:rPr>
                <w:color w:val="auto"/>
              </w:rPr>
            </w:pPr>
            <w:proofErr w:type="spellStart"/>
            <w:r w:rsidRPr="002528BD">
              <w:rPr>
                <w:color w:val="auto"/>
              </w:rPr>
              <w:t>m</w:t>
            </w:r>
            <w:r w:rsidRPr="002528BD">
              <w:rPr>
                <w:color w:val="auto"/>
                <w:vertAlign w:val="subscript"/>
              </w:rPr>
              <w:t>O</w:t>
            </w:r>
            <w:proofErr w:type="spellEnd"/>
            <w:r w:rsidRPr="002528BD">
              <w:rPr>
                <w:color w:val="auto"/>
                <w:vertAlign w:val="subscript"/>
              </w:rPr>
              <w:t xml:space="preserve"> </w:t>
            </w:r>
            <w:r w:rsidRPr="002528BD">
              <w:rPr>
                <w:color w:val="auto"/>
              </w:rPr>
              <w:t xml:space="preserve">: </w:t>
            </w:r>
            <w:proofErr w:type="spellStart"/>
            <w:r w:rsidRPr="002528BD">
              <w:rPr>
                <w:color w:val="auto"/>
              </w:rPr>
              <w:t>m</w:t>
            </w:r>
            <w:r w:rsidRPr="002528BD">
              <w:rPr>
                <w:color w:val="auto"/>
                <w:vertAlign w:val="subscript"/>
              </w:rPr>
              <w:t>Cu</w:t>
            </w:r>
            <w:proofErr w:type="spellEnd"/>
            <w:r w:rsidRPr="002528BD">
              <w:rPr>
                <w:color w:val="auto"/>
                <w:vertAlign w:val="subscript"/>
              </w:rPr>
              <w:t>(I)</w:t>
            </w:r>
            <w:r w:rsidRPr="002528BD">
              <w:rPr>
                <w:color w:val="auto"/>
              </w:rPr>
              <w:t>= 1 : 7,3</w:t>
            </w:r>
          </w:p>
        </w:tc>
        <w:tc>
          <w:tcPr>
            <w:tcW w:w="3654" w:type="dxa"/>
          </w:tcPr>
          <w:p w:rsidR="00F27BC8" w:rsidRPr="002528BD" w:rsidRDefault="00F27BC8" w:rsidP="00D50F92">
            <w:pPr>
              <w:tabs>
                <w:tab w:val="left" w:pos="1701"/>
                <w:tab w:val="left" w:pos="1985"/>
              </w:tabs>
              <w:rPr>
                <w:color w:val="auto"/>
              </w:rPr>
            </w:pPr>
            <w:proofErr w:type="spellStart"/>
            <w:r w:rsidRPr="002528BD">
              <w:rPr>
                <w:color w:val="auto"/>
              </w:rPr>
              <w:t>m</w:t>
            </w:r>
            <w:r w:rsidRPr="002528BD">
              <w:rPr>
                <w:color w:val="auto"/>
                <w:vertAlign w:val="subscript"/>
              </w:rPr>
              <w:t>O</w:t>
            </w:r>
            <w:proofErr w:type="spellEnd"/>
            <w:r w:rsidRPr="002528BD">
              <w:rPr>
                <w:color w:val="auto"/>
                <w:vertAlign w:val="subscript"/>
              </w:rPr>
              <w:t xml:space="preserve"> </w:t>
            </w:r>
            <w:r w:rsidRPr="002528BD">
              <w:rPr>
                <w:color w:val="auto"/>
              </w:rPr>
              <w:t xml:space="preserve">: </w:t>
            </w:r>
            <w:proofErr w:type="spellStart"/>
            <w:r w:rsidRPr="002528BD">
              <w:rPr>
                <w:color w:val="auto"/>
              </w:rPr>
              <w:t>m</w:t>
            </w:r>
            <w:r w:rsidRPr="002528BD">
              <w:rPr>
                <w:color w:val="auto"/>
                <w:vertAlign w:val="subscript"/>
              </w:rPr>
              <w:t>Cu</w:t>
            </w:r>
            <w:proofErr w:type="spellEnd"/>
            <w:r w:rsidRPr="002528BD">
              <w:rPr>
                <w:color w:val="auto"/>
                <w:vertAlign w:val="subscript"/>
              </w:rPr>
              <w:t>(II)</w:t>
            </w:r>
            <w:r w:rsidRPr="002528BD">
              <w:rPr>
                <w:color w:val="auto"/>
              </w:rPr>
              <w:t>= 1 : 3,55</w:t>
            </w:r>
          </w:p>
        </w:tc>
      </w:tr>
      <w:tr w:rsidR="00F27BC8" w:rsidRPr="002528BD" w:rsidTr="00D50F92">
        <w:tc>
          <w:tcPr>
            <w:tcW w:w="7308" w:type="dxa"/>
            <w:gridSpan w:val="2"/>
          </w:tcPr>
          <w:p w:rsidR="00F27BC8" w:rsidRPr="002528BD" w:rsidRDefault="00F27BC8" w:rsidP="00D50F92">
            <w:pPr>
              <w:tabs>
                <w:tab w:val="left" w:pos="1701"/>
                <w:tab w:val="left" w:pos="1985"/>
              </w:tabs>
              <w:rPr>
                <w:color w:val="auto"/>
              </w:rPr>
            </w:pPr>
            <w:r w:rsidRPr="002528BD">
              <w:rPr>
                <w:color w:val="auto"/>
              </w:rPr>
              <w:t xml:space="preserve">                                     </w:t>
            </w:r>
            <w:r w:rsidRPr="002528BD">
              <w:rPr>
                <w:color w:val="auto"/>
              </w:rPr>
              <w:sym w:font="Wingdings" w:char="F0E0"/>
            </w:r>
            <w:r w:rsidRPr="002528BD">
              <w:rPr>
                <w:color w:val="auto"/>
              </w:rPr>
              <w:t xml:space="preserve"> </w:t>
            </w:r>
            <w:proofErr w:type="spellStart"/>
            <w:r w:rsidRPr="002528BD">
              <w:rPr>
                <w:color w:val="auto"/>
              </w:rPr>
              <w:t>m</w:t>
            </w:r>
            <w:r w:rsidRPr="002528BD">
              <w:rPr>
                <w:color w:val="auto"/>
                <w:vertAlign w:val="subscript"/>
              </w:rPr>
              <w:t>Cu</w:t>
            </w:r>
            <w:proofErr w:type="spellEnd"/>
            <w:r w:rsidRPr="002528BD">
              <w:rPr>
                <w:color w:val="auto"/>
                <w:vertAlign w:val="subscript"/>
              </w:rPr>
              <w:t xml:space="preserve">(I) : </w:t>
            </w:r>
            <w:proofErr w:type="spellStart"/>
            <w:r w:rsidRPr="002528BD">
              <w:rPr>
                <w:color w:val="auto"/>
              </w:rPr>
              <w:t>m</w:t>
            </w:r>
            <w:r w:rsidRPr="002528BD">
              <w:rPr>
                <w:color w:val="auto"/>
                <w:vertAlign w:val="subscript"/>
              </w:rPr>
              <w:t>Cu</w:t>
            </w:r>
            <w:proofErr w:type="spellEnd"/>
            <w:r w:rsidRPr="002528BD">
              <w:rPr>
                <w:color w:val="auto"/>
                <w:vertAlign w:val="subscript"/>
              </w:rPr>
              <w:t>(II)</w:t>
            </w:r>
            <w:r w:rsidRPr="002528BD">
              <w:rPr>
                <w:color w:val="auto"/>
              </w:rPr>
              <w:t>= 7,3 : 3,55 ≈ 2 : 1</w:t>
            </w:r>
          </w:p>
        </w:tc>
      </w:tr>
    </w:tbl>
    <w:p w:rsidR="00F27BC8" w:rsidRPr="001460DD" w:rsidRDefault="00F27BC8" w:rsidP="00F27BC8">
      <w:pPr>
        <w:tabs>
          <w:tab w:val="left" w:pos="1701"/>
          <w:tab w:val="left" w:pos="1985"/>
        </w:tabs>
        <w:ind w:left="1980" w:hanging="1980"/>
        <w:rPr>
          <w:b/>
          <w:color w:val="4BACC6" w:themeColor="accent5"/>
        </w:rPr>
      </w:pPr>
    </w:p>
    <w:p w:rsidR="00F27BC8" w:rsidRPr="0052115F" w:rsidRDefault="00F27BC8" w:rsidP="00F27BC8">
      <w:pPr>
        <w:ind w:left="1980" w:hanging="1980"/>
        <w:jc w:val="left"/>
        <w:rPr>
          <w:color w:val="auto"/>
        </w:rPr>
      </w:pPr>
      <w:r>
        <w:rPr>
          <w:color w:val="auto"/>
        </w:rPr>
        <w:t>Entsorgung:</w:t>
      </w:r>
      <w:r>
        <w:rPr>
          <w:color w:val="auto"/>
        </w:rPr>
        <w:tab/>
        <w:t>Kupfer wird im Schwermetallabfall entsorgt. Die Schwefelsäure wird in den Säure-Base Abfall gegeben.</w:t>
      </w:r>
    </w:p>
    <w:p w:rsidR="00F27BC8" w:rsidRPr="006705DF" w:rsidRDefault="00F27BC8" w:rsidP="00F27BC8">
      <w:pPr>
        <w:spacing w:after="0"/>
        <w:ind w:left="1980" w:hanging="1980"/>
        <w:jc w:val="left"/>
        <w:rPr>
          <w:rFonts w:asciiTheme="majorHAnsi" w:hAnsiTheme="majorHAnsi"/>
          <w:color w:val="auto"/>
        </w:rPr>
      </w:pPr>
      <w:r>
        <w:rPr>
          <w:color w:val="auto"/>
        </w:rPr>
        <w:t>Literatur:</w:t>
      </w:r>
      <w:r>
        <w:rPr>
          <w:color w:val="auto"/>
        </w:rPr>
        <w:tab/>
      </w:r>
      <w:proofErr w:type="spellStart"/>
      <w:r>
        <w:rPr>
          <w:color w:val="auto"/>
        </w:rPr>
        <w:t>Meloefski</w:t>
      </w:r>
      <w:proofErr w:type="spellEnd"/>
      <w:r>
        <w:rPr>
          <w:color w:val="auto"/>
        </w:rPr>
        <w:t xml:space="preserve">, R., </w:t>
      </w:r>
      <w:r w:rsidRPr="006705DF">
        <w:rPr>
          <w:i/>
          <w:color w:val="auto"/>
        </w:rPr>
        <w:t>Atome, Moleküle, Ionen</w:t>
      </w:r>
      <w:r>
        <w:rPr>
          <w:color w:val="auto"/>
        </w:rPr>
        <w:t xml:space="preserve">. In Freytag, K. &amp; Scharf, V. &amp; Thomas, E. (Hrsg.), Handbuch des Chemieunterrichts. </w:t>
      </w:r>
      <w:proofErr w:type="spellStart"/>
      <w:r>
        <w:rPr>
          <w:color w:val="auto"/>
        </w:rPr>
        <w:t>Sekundarbereich</w:t>
      </w:r>
      <w:proofErr w:type="spellEnd"/>
      <w:r>
        <w:rPr>
          <w:color w:val="auto"/>
        </w:rPr>
        <w:t xml:space="preserve"> I. Band 3, Teilchen-Formeln-Redoxreaktionen. </w:t>
      </w:r>
      <w:proofErr w:type="spellStart"/>
      <w:r>
        <w:rPr>
          <w:color w:val="auto"/>
        </w:rPr>
        <w:t>Aulis</w:t>
      </w:r>
      <w:proofErr w:type="spellEnd"/>
      <w:r>
        <w:rPr>
          <w:color w:val="auto"/>
        </w:rPr>
        <w:t xml:space="preserve"> Verlag. Köln (2002).</w:t>
      </w:r>
    </w:p>
    <w:p w:rsidR="00F27BC8" w:rsidRPr="0052115F" w:rsidRDefault="00F27BC8" w:rsidP="00F27BC8">
      <w:pPr>
        <w:tabs>
          <w:tab w:val="left" w:pos="1701"/>
          <w:tab w:val="left" w:pos="1985"/>
        </w:tabs>
        <w:ind w:left="1980" w:hanging="1980"/>
        <w:rPr>
          <w:color w:val="auto"/>
        </w:rPr>
      </w:pPr>
    </w:p>
    <w:p w:rsidR="00F27BC8" w:rsidRPr="0052115F" w:rsidRDefault="00F27BC8" w:rsidP="00F27BC8">
      <w:pPr>
        <w:tabs>
          <w:tab w:val="left" w:pos="1701"/>
          <w:tab w:val="left" w:pos="1985"/>
        </w:tabs>
        <w:ind w:left="1980" w:hanging="1980"/>
        <w:rPr>
          <w:color w:val="auto"/>
        </w:rPr>
      </w:pPr>
      <w:r>
        <w:rPr>
          <w:color w:val="auto"/>
        </w:rPr>
      </w:r>
      <w:r>
        <w:rPr>
          <w:color w:val="auto"/>
        </w:rPr>
        <w:pict>
          <v:shape id="_x0000_s1026" type="#_x0000_t202" style="width:462.45pt;height:262.75pt;mso-position-horizontal-relative:char;mso-position-vertical-relative:line;mso-width-relative:margin;mso-height-relative:margin" fillcolor="white [3201]" strokecolor="#c0504d [3205]" strokeweight="1pt">
            <v:stroke dashstyle="dash"/>
            <v:shadow color="#868686"/>
            <v:textbox style="mso-next-textbox:#_x0000_s1026">
              <w:txbxContent>
                <w:p w:rsidR="00F27BC8" w:rsidRPr="00EA24E2" w:rsidRDefault="00F27BC8" w:rsidP="00F27BC8">
                  <w:pPr>
                    <w:rPr>
                      <w:color w:val="auto"/>
                    </w:rPr>
                  </w:pPr>
                  <w:r>
                    <w:rPr>
                      <w:color w:val="auto"/>
                    </w:rPr>
                    <w:t>Der Versuch eignet sich sehr gut als Lehrerdemonstrationsversuch und dient als Grundlage, um im Anschluss die multiplen Proportionen an dem Beispiel der Kupferoxide zu erarbeiten. Zwar erfordert der Aufbau ein wenig Zeit, die eigentliche Durchführung hingegen geht schnell. Da eine Wasserstoffgasflasche verwendet wird, darf der Versuch nicht als Schülerversuch eing</w:t>
                  </w:r>
                  <w:r>
                    <w:rPr>
                      <w:color w:val="auto"/>
                    </w:rPr>
                    <w:t>e</w:t>
                  </w:r>
                  <w:r>
                    <w:rPr>
                      <w:color w:val="auto"/>
                    </w:rPr>
                    <w:t xml:space="preserve">setzt werden. Alle anderen Chemikalien wären für </w:t>
                  </w:r>
                  <w:proofErr w:type="spellStart"/>
                  <w:r>
                    <w:rPr>
                      <w:color w:val="auto"/>
                    </w:rPr>
                    <w:t>SuS</w:t>
                  </w:r>
                  <w:proofErr w:type="spellEnd"/>
                  <w:r>
                    <w:rPr>
                      <w:color w:val="auto"/>
                    </w:rPr>
                    <w:t xml:space="preserve"> der 7./8. Jahrgangsstufe unbedenklich einsetzbar. Besondere Vorsicht ist beim Umgang mit Wasserstoff immer geboten. Die Entst</w:t>
                  </w:r>
                  <w:r>
                    <w:rPr>
                      <w:color w:val="auto"/>
                    </w:rPr>
                    <w:t>e</w:t>
                  </w:r>
                  <w:r>
                    <w:rPr>
                      <w:color w:val="auto"/>
                    </w:rPr>
                    <w:t xml:space="preserve">hung von Knallgas muss unbedingt verhindert werden, daher ist es wichtig die Wasserstoff-Flamme am Ableitungsrohr ständig im Blick zu haben. Außerdem verdeutlicht der Versuch den </w:t>
                  </w:r>
                  <w:proofErr w:type="spellStart"/>
                  <w:r>
                    <w:rPr>
                      <w:color w:val="auto"/>
                    </w:rPr>
                    <w:t>SuS</w:t>
                  </w:r>
                  <w:proofErr w:type="spellEnd"/>
                  <w:r>
                    <w:rPr>
                      <w:color w:val="auto"/>
                    </w:rPr>
                    <w:t xml:space="preserve">, dass chemische Verbindungen, obwohl sie aus den gleichen Elementen bestehen, andere Eigenschaften besitzen (hier: Farbe). In der Literatur findet sich als weiterer Versuch, um die multiplen Proportionen zu verdeutlichen, die Untersuchung der Bleioxide. Der Umgang mit Bleioxiden ist allerdings </w:t>
                  </w:r>
                  <w:proofErr w:type="spellStart"/>
                  <w:r>
                    <w:rPr>
                      <w:color w:val="auto"/>
                    </w:rPr>
                    <w:t>SuS</w:t>
                  </w:r>
                  <w:proofErr w:type="spellEnd"/>
                  <w:r>
                    <w:rPr>
                      <w:color w:val="auto"/>
                    </w:rPr>
                    <w:t xml:space="preserve"> und Lehrern untersagt, sodass dieser Versuch nicht als Alternative eingesetzt werden kann. </w:t>
                  </w:r>
                </w:p>
              </w:txbxContent>
            </v:textbox>
            <w10:wrap type="none"/>
            <w10:anchorlock/>
          </v:shape>
        </w:pict>
      </w:r>
    </w:p>
    <w:p w:rsidR="00D54C31" w:rsidRDefault="00416C39"/>
    <w:sectPr w:rsidR="00D54C31" w:rsidSect="00CA5D7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7BC8"/>
    <w:rsid w:val="003F61E8"/>
    <w:rsid w:val="00416C39"/>
    <w:rsid w:val="006838B0"/>
    <w:rsid w:val="00741064"/>
    <w:rsid w:val="00CA5D71"/>
    <w:rsid w:val="00F27BC8"/>
    <w:rsid w:val="00F5080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7BC8"/>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27BC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27BC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27BC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27BC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27BC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27BC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27BC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27BC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27BC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7BC8"/>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27BC8"/>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27BC8"/>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27BC8"/>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27BC8"/>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27BC8"/>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27BC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27BC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27BC8"/>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7BC8"/>
    <w:pPr>
      <w:spacing w:line="240" w:lineRule="auto"/>
    </w:pPr>
    <w:rPr>
      <w:bCs/>
      <w:color w:val="auto"/>
      <w:sz w:val="18"/>
      <w:szCs w:val="18"/>
    </w:rPr>
  </w:style>
  <w:style w:type="table" w:styleId="Tabellengitternetz">
    <w:name w:val="Table Grid"/>
    <w:basedOn w:val="NormaleTabelle"/>
    <w:uiPriority w:val="59"/>
    <w:rsid w:val="00F27B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F27BC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7BC8"/>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522</Words>
  <Characters>3295</Characters>
  <Application>Microsoft Office Word</Application>
  <DocSecurity>0</DocSecurity>
  <Lines>27</Lines>
  <Paragraphs>7</Paragraphs>
  <ScaleCrop>false</ScaleCrop>
  <Company>Frost-RL</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Hiller</dc:creator>
  <cp:lastModifiedBy>Hiller</cp:lastModifiedBy>
  <cp:revision>1</cp:revision>
  <dcterms:created xsi:type="dcterms:W3CDTF">2015-08-21T14:05:00Z</dcterms:created>
  <dcterms:modified xsi:type="dcterms:W3CDTF">2015-08-21T14:07:00Z</dcterms:modified>
</cp:coreProperties>
</file>