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5E9" w:rsidRPr="0052115F" w:rsidRDefault="00DC65E9" w:rsidP="00DC65E9">
      <w:pPr>
        <w:tabs>
          <w:tab w:val="left" w:pos="1701"/>
          <w:tab w:val="left" w:pos="1985"/>
        </w:tabs>
        <w:rPr>
          <w:color w:val="auto"/>
        </w:rPr>
      </w:pPr>
      <w:r w:rsidRPr="0052115F">
        <w:rPr>
          <w:color w:val="auto"/>
        </w:rPr>
        <w:t xml:space="preserve">Thema: </w:t>
      </w:r>
      <w:r>
        <w:rPr>
          <w:color w:val="auto"/>
        </w:rPr>
        <w:t>Chemische Gesetzmäßigkeiten</w:t>
      </w:r>
      <w:r w:rsidRPr="0052115F">
        <w:rPr>
          <w:color w:val="auto"/>
        </w:rPr>
        <w:t xml:space="preserve"> –</w:t>
      </w:r>
      <w:r>
        <w:rPr>
          <w:color w:val="auto"/>
        </w:rPr>
        <w:t xml:space="preserve"> Klasse 7/8</w:t>
      </w:r>
    </w:p>
    <w:p w:rsidR="00DC65E9" w:rsidRPr="0052115F" w:rsidRDefault="00DC65E9" w:rsidP="00DC65E9">
      <w:pPr>
        <w:tabs>
          <w:tab w:val="left" w:pos="1701"/>
          <w:tab w:val="left" w:pos="1985"/>
        </w:tabs>
        <w:rPr>
          <w:b/>
          <w:color w:val="auto"/>
          <w:sz w:val="28"/>
        </w:rPr>
      </w:pPr>
      <w:r>
        <w:rPr>
          <w:b/>
          <w:color w:val="auto"/>
          <w:sz w:val="28"/>
        </w:rPr>
        <w:t>Die Verhältnisformel von Kupfersulfid</w:t>
      </w:r>
    </w:p>
    <w:p w:rsidR="00DC65E9" w:rsidRDefault="00DC65E9" w:rsidP="00DC65E9">
      <w:pPr>
        <w:spacing w:before="240"/>
        <w:rPr>
          <w:color w:val="auto"/>
        </w:rPr>
      </w:pPr>
      <w:r>
        <w:rPr>
          <w:color w:val="auto"/>
        </w:rPr>
        <w:t>In der letzten Unterrichtsstunde haben wir Kupfersulfid synthetisiert. Durch Verrechnung der eingesetzten Masse Kupfer mit der Masse des Kupfersulfids, haben wir bereits die eingesetzte Masse Schwefel ermittelt. Die Werte findest du in Tabelle 1.</w:t>
      </w:r>
    </w:p>
    <w:p w:rsidR="00DC65E9" w:rsidRDefault="00DC65E9" w:rsidP="00DC65E9">
      <w:pPr>
        <w:pStyle w:val="Beschriftung"/>
        <w:keepNext/>
        <w:spacing w:after="0"/>
      </w:pPr>
      <w:r>
        <w:t xml:space="preserve">Tabelle </w:t>
      </w:r>
      <w:fldSimple w:instr=" SEQ Tabelle \* ARABIC ">
        <w:r>
          <w:rPr>
            <w:noProof/>
          </w:rPr>
          <w:t>1</w:t>
        </w:r>
      </w:fldSimple>
    </w:p>
    <w:tbl>
      <w:tblPr>
        <w:tblStyle w:val="HellesRaster-Akzent5"/>
        <w:tblW w:w="0" w:type="auto"/>
        <w:tblLook w:val="04A0"/>
      </w:tblPr>
      <w:tblGrid>
        <w:gridCol w:w="2006"/>
        <w:gridCol w:w="1128"/>
        <w:gridCol w:w="1128"/>
        <w:gridCol w:w="1128"/>
        <w:gridCol w:w="3790"/>
      </w:tblGrid>
      <w:tr w:rsidR="00DC65E9" w:rsidTr="00D50F92">
        <w:trPr>
          <w:cnfStyle w:val="100000000000"/>
          <w:trHeight w:val="213"/>
        </w:trPr>
        <w:tc>
          <w:tcPr>
            <w:cnfStyle w:val="001000000000"/>
            <w:tcW w:w="2006" w:type="dxa"/>
          </w:tcPr>
          <w:p w:rsidR="00DC65E9" w:rsidRDefault="00DC65E9" w:rsidP="00D50F92">
            <w:pPr>
              <w:rPr>
                <w:color w:val="auto"/>
              </w:rPr>
            </w:pPr>
          </w:p>
        </w:tc>
        <w:tc>
          <w:tcPr>
            <w:tcW w:w="1128" w:type="dxa"/>
          </w:tcPr>
          <w:p w:rsidR="00DC65E9" w:rsidRDefault="00DC65E9" w:rsidP="00D50F92">
            <w:pPr>
              <w:cnfStyle w:val="100000000000"/>
              <w:rPr>
                <w:color w:val="auto"/>
              </w:rPr>
            </w:pPr>
            <w:r>
              <w:rPr>
                <w:color w:val="auto"/>
              </w:rPr>
              <w:t>Masse [g]</w:t>
            </w:r>
          </w:p>
        </w:tc>
        <w:tc>
          <w:tcPr>
            <w:tcW w:w="1128" w:type="dxa"/>
          </w:tcPr>
          <w:p w:rsidR="00DC65E9" w:rsidRDefault="00DC65E9" w:rsidP="00D50F92">
            <w:pPr>
              <w:cnfStyle w:val="100000000000"/>
              <w:rPr>
                <w:color w:val="auto"/>
              </w:rPr>
            </w:pPr>
            <w:r>
              <w:rPr>
                <w:color w:val="auto"/>
              </w:rPr>
              <w:t>Masse [g]</w:t>
            </w:r>
          </w:p>
        </w:tc>
        <w:tc>
          <w:tcPr>
            <w:tcW w:w="1128" w:type="dxa"/>
          </w:tcPr>
          <w:p w:rsidR="00DC65E9" w:rsidRDefault="00DC65E9" w:rsidP="00D50F92">
            <w:pPr>
              <w:cnfStyle w:val="100000000000"/>
              <w:rPr>
                <w:color w:val="auto"/>
              </w:rPr>
            </w:pPr>
            <w:r>
              <w:rPr>
                <w:color w:val="auto"/>
              </w:rPr>
              <w:t>Masse [g]</w:t>
            </w:r>
          </w:p>
        </w:tc>
        <w:tc>
          <w:tcPr>
            <w:tcW w:w="3790" w:type="dxa"/>
          </w:tcPr>
          <w:p w:rsidR="00DC65E9" w:rsidRDefault="00DC65E9" w:rsidP="00D50F92">
            <w:pPr>
              <w:cnfStyle w:val="100000000000"/>
              <w:rPr>
                <w:color w:val="auto"/>
              </w:rPr>
            </w:pPr>
            <w:r>
              <w:rPr>
                <w:color w:val="auto"/>
              </w:rPr>
              <w:t>Masse [g]</w:t>
            </w:r>
          </w:p>
        </w:tc>
      </w:tr>
      <w:tr w:rsidR="00DC65E9" w:rsidTr="00D50F92">
        <w:trPr>
          <w:cnfStyle w:val="000000100000"/>
          <w:trHeight w:val="213"/>
        </w:trPr>
        <w:tc>
          <w:tcPr>
            <w:cnfStyle w:val="001000000000"/>
            <w:tcW w:w="2006" w:type="dxa"/>
          </w:tcPr>
          <w:p w:rsidR="00DC65E9" w:rsidRDefault="00DC65E9" w:rsidP="00D50F92">
            <w:pPr>
              <w:rPr>
                <w:color w:val="auto"/>
              </w:rPr>
            </w:pPr>
            <w:r>
              <w:rPr>
                <w:color w:val="auto"/>
              </w:rPr>
              <w:t>Kupfer</w:t>
            </w:r>
          </w:p>
        </w:tc>
        <w:tc>
          <w:tcPr>
            <w:tcW w:w="1128" w:type="dxa"/>
          </w:tcPr>
          <w:p w:rsidR="00DC65E9" w:rsidRDefault="00DC65E9" w:rsidP="00D50F92">
            <w:pPr>
              <w:cnfStyle w:val="000000100000"/>
              <w:rPr>
                <w:color w:val="auto"/>
              </w:rPr>
            </w:pPr>
            <w:r>
              <w:rPr>
                <w:color w:val="auto"/>
              </w:rPr>
              <w:t>0,20</w:t>
            </w:r>
          </w:p>
        </w:tc>
        <w:tc>
          <w:tcPr>
            <w:tcW w:w="1128" w:type="dxa"/>
          </w:tcPr>
          <w:p w:rsidR="00DC65E9" w:rsidRDefault="00DC65E9" w:rsidP="00D50F92">
            <w:pPr>
              <w:cnfStyle w:val="000000100000"/>
              <w:rPr>
                <w:color w:val="auto"/>
              </w:rPr>
            </w:pPr>
            <w:r>
              <w:rPr>
                <w:color w:val="auto"/>
              </w:rPr>
              <w:t>0,33</w:t>
            </w:r>
          </w:p>
        </w:tc>
        <w:tc>
          <w:tcPr>
            <w:tcW w:w="1128" w:type="dxa"/>
          </w:tcPr>
          <w:p w:rsidR="00DC65E9" w:rsidRDefault="00DC65E9" w:rsidP="00D50F92">
            <w:pPr>
              <w:cnfStyle w:val="000000100000"/>
              <w:rPr>
                <w:color w:val="auto"/>
              </w:rPr>
            </w:pPr>
            <w:r>
              <w:rPr>
                <w:color w:val="auto"/>
              </w:rPr>
              <w:t>0,60</w:t>
            </w:r>
          </w:p>
        </w:tc>
        <w:tc>
          <w:tcPr>
            <w:tcW w:w="3790" w:type="dxa"/>
          </w:tcPr>
          <w:p w:rsidR="00DC65E9" w:rsidRDefault="00DC65E9" w:rsidP="00D50F92">
            <w:pPr>
              <w:cnfStyle w:val="000000100000"/>
              <w:rPr>
                <w:color w:val="auto"/>
              </w:rPr>
            </w:pPr>
            <w:r>
              <w:rPr>
                <w:color w:val="auto"/>
              </w:rPr>
              <w:t>0,77</w:t>
            </w:r>
          </w:p>
        </w:tc>
      </w:tr>
      <w:tr w:rsidR="00DC65E9" w:rsidTr="00D50F92">
        <w:trPr>
          <w:cnfStyle w:val="000000010000"/>
          <w:trHeight w:val="213"/>
        </w:trPr>
        <w:tc>
          <w:tcPr>
            <w:cnfStyle w:val="001000000000"/>
            <w:tcW w:w="2006" w:type="dxa"/>
          </w:tcPr>
          <w:p w:rsidR="00DC65E9" w:rsidRDefault="00DC65E9" w:rsidP="00D50F92">
            <w:pPr>
              <w:rPr>
                <w:color w:val="auto"/>
              </w:rPr>
            </w:pPr>
            <w:r>
              <w:rPr>
                <w:color w:val="auto"/>
              </w:rPr>
              <w:t>Kupfersulfid</w:t>
            </w:r>
          </w:p>
        </w:tc>
        <w:tc>
          <w:tcPr>
            <w:tcW w:w="1128" w:type="dxa"/>
          </w:tcPr>
          <w:p w:rsidR="00DC65E9" w:rsidRDefault="00DC65E9" w:rsidP="00D50F92">
            <w:pPr>
              <w:cnfStyle w:val="000000010000"/>
              <w:rPr>
                <w:color w:val="auto"/>
              </w:rPr>
            </w:pPr>
            <w:r>
              <w:rPr>
                <w:color w:val="auto"/>
              </w:rPr>
              <w:t>0,25</w:t>
            </w:r>
          </w:p>
        </w:tc>
        <w:tc>
          <w:tcPr>
            <w:tcW w:w="1128" w:type="dxa"/>
          </w:tcPr>
          <w:p w:rsidR="00DC65E9" w:rsidRDefault="00DC65E9" w:rsidP="00D50F92">
            <w:pPr>
              <w:cnfStyle w:val="000000010000"/>
              <w:rPr>
                <w:color w:val="auto"/>
              </w:rPr>
            </w:pPr>
            <w:r>
              <w:rPr>
                <w:color w:val="auto"/>
              </w:rPr>
              <w:t>0,42</w:t>
            </w:r>
          </w:p>
        </w:tc>
        <w:tc>
          <w:tcPr>
            <w:tcW w:w="1128" w:type="dxa"/>
          </w:tcPr>
          <w:p w:rsidR="00DC65E9" w:rsidRDefault="00DC65E9" w:rsidP="00D50F92">
            <w:pPr>
              <w:cnfStyle w:val="000000010000"/>
              <w:rPr>
                <w:color w:val="auto"/>
              </w:rPr>
            </w:pPr>
            <w:r>
              <w:rPr>
                <w:color w:val="auto"/>
              </w:rPr>
              <w:t>0,74</w:t>
            </w:r>
          </w:p>
        </w:tc>
        <w:tc>
          <w:tcPr>
            <w:tcW w:w="3790" w:type="dxa"/>
          </w:tcPr>
          <w:p w:rsidR="00DC65E9" w:rsidRDefault="00DC65E9" w:rsidP="00D50F92">
            <w:pPr>
              <w:cnfStyle w:val="000000010000"/>
              <w:rPr>
                <w:color w:val="auto"/>
              </w:rPr>
            </w:pPr>
            <w:r>
              <w:rPr>
                <w:color w:val="auto"/>
              </w:rPr>
              <w:t>0,97</w:t>
            </w:r>
          </w:p>
        </w:tc>
      </w:tr>
      <w:tr w:rsidR="00DC65E9" w:rsidTr="00D50F92">
        <w:trPr>
          <w:cnfStyle w:val="000000100000"/>
          <w:trHeight w:val="222"/>
        </w:trPr>
        <w:tc>
          <w:tcPr>
            <w:cnfStyle w:val="001000000000"/>
            <w:tcW w:w="2006" w:type="dxa"/>
          </w:tcPr>
          <w:p w:rsidR="00DC65E9" w:rsidRDefault="00DC65E9" w:rsidP="00D50F92">
            <w:pPr>
              <w:rPr>
                <w:color w:val="auto"/>
              </w:rPr>
            </w:pPr>
            <w:r>
              <w:rPr>
                <w:color w:val="auto"/>
              </w:rPr>
              <w:t>Schwefel</w:t>
            </w:r>
          </w:p>
        </w:tc>
        <w:tc>
          <w:tcPr>
            <w:tcW w:w="1128" w:type="dxa"/>
          </w:tcPr>
          <w:p w:rsidR="00DC65E9" w:rsidRDefault="00DC65E9" w:rsidP="00D50F92">
            <w:pPr>
              <w:cnfStyle w:val="000000100000"/>
              <w:rPr>
                <w:color w:val="auto"/>
              </w:rPr>
            </w:pPr>
            <w:r>
              <w:rPr>
                <w:color w:val="auto"/>
              </w:rPr>
              <w:t>0,05</w:t>
            </w:r>
          </w:p>
        </w:tc>
        <w:tc>
          <w:tcPr>
            <w:tcW w:w="1128" w:type="dxa"/>
          </w:tcPr>
          <w:p w:rsidR="00DC65E9" w:rsidRDefault="00DC65E9" w:rsidP="00D50F92">
            <w:pPr>
              <w:cnfStyle w:val="000000100000"/>
              <w:rPr>
                <w:color w:val="auto"/>
              </w:rPr>
            </w:pPr>
            <w:r>
              <w:rPr>
                <w:color w:val="auto"/>
              </w:rPr>
              <w:t>0,09</w:t>
            </w:r>
          </w:p>
        </w:tc>
        <w:tc>
          <w:tcPr>
            <w:tcW w:w="1128" w:type="dxa"/>
          </w:tcPr>
          <w:p w:rsidR="00DC65E9" w:rsidRDefault="00DC65E9" w:rsidP="00D50F92">
            <w:pPr>
              <w:cnfStyle w:val="000000100000"/>
              <w:rPr>
                <w:color w:val="auto"/>
              </w:rPr>
            </w:pPr>
            <w:r>
              <w:rPr>
                <w:color w:val="auto"/>
              </w:rPr>
              <w:t>0,14</w:t>
            </w:r>
          </w:p>
        </w:tc>
        <w:tc>
          <w:tcPr>
            <w:tcW w:w="3790" w:type="dxa"/>
          </w:tcPr>
          <w:p w:rsidR="00DC65E9" w:rsidRDefault="00DC65E9" w:rsidP="00D50F92">
            <w:pPr>
              <w:cnfStyle w:val="000000100000"/>
              <w:rPr>
                <w:color w:val="auto"/>
              </w:rPr>
            </w:pPr>
            <w:r>
              <w:rPr>
                <w:color w:val="auto"/>
              </w:rPr>
              <w:t>0,20</w:t>
            </w:r>
          </w:p>
        </w:tc>
      </w:tr>
    </w:tbl>
    <w:p w:rsidR="00DC65E9" w:rsidRDefault="00DC65E9" w:rsidP="00DC65E9">
      <w:pPr>
        <w:rPr>
          <w:color w:val="auto"/>
        </w:rPr>
      </w:pPr>
    </w:p>
    <w:p w:rsidR="00DC65E9" w:rsidRDefault="00DC65E9" w:rsidP="00DC65E9">
      <w:pPr>
        <w:keepNext/>
      </w:pPr>
      <w:r w:rsidRPr="00870A7E">
        <w:rPr>
          <w:noProof/>
          <w:color w:val="auto"/>
          <w:lang w:eastAsia="de-DE"/>
        </w:rPr>
        <w:drawing>
          <wp:inline distT="0" distB="0" distL="0" distR="0">
            <wp:extent cx="5724939" cy="1844703"/>
            <wp:effectExtent l="0" t="0" r="0" b="3175"/>
            <wp:docPr id="47"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C65E9" w:rsidRDefault="00DC65E9" w:rsidP="00DC65E9">
      <w:pPr>
        <w:rPr>
          <w:color w:val="auto"/>
        </w:rPr>
      </w:pPr>
    </w:p>
    <w:p w:rsidR="00DC65E9" w:rsidRDefault="00DC65E9" w:rsidP="00DC65E9">
      <w:pPr>
        <w:rPr>
          <w:color w:val="auto"/>
        </w:rPr>
      </w:pPr>
      <w:r w:rsidRPr="0052115F">
        <w:rPr>
          <w:b/>
          <w:color w:val="auto"/>
        </w:rPr>
        <w:t xml:space="preserve">Aufgabe 1 </w:t>
      </w:r>
      <w:r w:rsidRPr="0052115F">
        <w:rPr>
          <w:color w:val="auto"/>
        </w:rPr>
        <w:t>(</w:t>
      </w:r>
      <w:r>
        <w:rPr>
          <w:color w:val="auto"/>
        </w:rPr>
        <w:t>Einzelarbeit</w:t>
      </w:r>
      <w:r w:rsidRPr="0052115F">
        <w:rPr>
          <w:color w:val="auto"/>
        </w:rPr>
        <w:t xml:space="preserve">): </w:t>
      </w:r>
      <w:r>
        <w:rPr>
          <w:color w:val="auto"/>
        </w:rPr>
        <w:t xml:space="preserve">Ermittele graphisch das Massenverhältnis von Kupfer zu Schwefel, in dem du die Messwerte aus Tabelle 1 nutzt. </w:t>
      </w:r>
    </w:p>
    <w:p w:rsidR="00DC65E9" w:rsidRPr="0052115F" w:rsidRDefault="00DC65E9" w:rsidP="00DC65E9">
      <w:pPr>
        <w:rPr>
          <w:color w:val="auto"/>
        </w:rPr>
      </w:pPr>
      <w:r w:rsidRPr="0052115F">
        <w:rPr>
          <w:b/>
          <w:color w:val="auto"/>
        </w:rPr>
        <w:t xml:space="preserve">Aufgabe 2 </w:t>
      </w:r>
      <w:r w:rsidRPr="0052115F">
        <w:rPr>
          <w:color w:val="auto"/>
        </w:rPr>
        <w:t xml:space="preserve">(Einzelarbeit): </w:t>
      </w:r>
      <w:r>
        <w:rPr>
          <w:color w:val="auto"/>
        </w:rPr>
        <w:t>Im Unterricht hast du das Gesetz der konstanten Proportionen ke</w:t>
      </w:r>
      <w:r>
        <w:rPr>
          <w:color w:val="auto"/>
        </w:rPr>
        <w:t>n</w:t>
      </w:r>
      <w:r>
        <w:rPr>
          <w:color w:val="auto"/>
        </w:rPr>
        <w:t>nengelernt. Stelle dieses Gesetz dar.</w:t>
      </w:r>
    </w:p>
    <w:p w:rsidR="00DC65E9" w:rsidRDefault="00DC65E9" w:rsidP="00DC65E9">
      <w:pPr>
        <w:rPr>
          <w:color w:val="auto"/>
        </w:rPr>
      </w:pPr>
      <w:r w:rsidRPr="0052115F">
        <w:rPr>
          <w:b/>
          <w:color w:val="auto"/>
        </w:rPr>
        <w:t>Aufgabe 3</w:t>
      </w:r>
      <w:r w:rsidRPr="0052115F">
        <w:rPr>
          <w:color w:val="auto"/>
        </w:rPr>
        <w:t xml:space="preserve"> (</w:t>
      </w:r>
      <w:r>
        <w:rPr>
          <w:color w:val="auto"/>
        </w:rPr>
        <w:t>Gruppenarbeit</w:t>
      </w:r>
      <w:r w:rsidRPr="0052115F">
        <w:rPr>
          <w:color w:val="auto"/>
        </w:rPr>
        <w:t xml:space="preserve">): </w:t>
      </w:r>
      <w:r>
        <w:rPr>
          <w:color w:val="auto"/>
        </w:rPr>
        <w:t xml:space="preserve">Entwickelt einen Weg, um aus dem ermittelten Massenverhältnis von Kupfer zu Schwefel die Verhältnisformel von Kupfersulfid herzuleiten. </w:t>
      </w:r>
    </w:p>
    <w:p w:rsidR="00DC65E9" w:rsidRPr="0052115F" w:rsidRDefault="00DC65E9" w:rsidP="00DC65E9">
      <w:pPr>
        <w:rPr>
          <w:color w:val="auto"/>
        </w:rPr>
      </w:pPr>
      <w:r w:rsidRPr="00876B77">
        <w:rPr>
          <w:i/>
          <w:color w:val="auto"/>
        </w:rPr>
        <w:t>Hilfe</w:t>
      </w:r>
      <w:r>
        <w:rPr>
          <w:color w:val="auto"/>
        </w:rPr>
        <w:t xml:space="preserve">: Die Atommasse von Kupfer ist: m (1 </w:t>
      </w:r>
      <w:proofErr w:type="spellStart"/>
      <w:r>
        <w:rPr>
          <w:color w:val="auto"/>
        </w:rPr>
        <w:t>Cu</w:t>
      </w:r>
      <w:proofErr w:type="spellEnd"/>
      <w:r>
        <w:rPr>
          <w:color w:val="auto"/>
        </w:rPr>
        <w:t>)=63,55 u und die von Schwefel ist: m (1S)=32,07 u</w:t>
      </w:r>
    </w:p>
    <w:p w:rsidR="00DC65E9" w:rsidRPr="0052115F" w:rsidRDefault="00DC65E9" w:rsidP="00DC65E9">
      <w:pPr>
        <w:rPr>
          <w:color w:val="auto"/>
        </w:rPr>
        <w:sectPr w:rsidR="00DC65E9" w:rsidRPr="0052115F" w:rsidSect="0049087A">
          <w:headerReference w:type="default" r:id="rId6"/>
          <w:pgSz w:w="11906" w:h="16838"/>
          <w:pgMar w:top="1417" w:right="1417" w:bottom="709" w:left="1417" w:header="708" w:footer="708" w:gutter="0"/>
          <w:pgNumType w:start="0"/>
          <w:cols w:space="708"/>
          <w:docGrid w:linePitch="360"/>
        </w:sectPr>
      </w:pPr>
      <w:r w:rsidRPr="0052115F">
        <w:rPr>
          <w:color w:val="auto"/>
        </w:rPr>
        <w:t xml:space="preserve"> </w:t>
      </w:r>
    </w:p>
    <w:p w:rsidR="00DC65E9" w:rsidRPr="0052115F" w:rsidRDefault="00DC65E9" w:rsidP="00DC65E9">
      <w:pPr>
        <w:pStyle w:val="berschrift1"/>
        <w:numPr>
          <w:ilvl w:val="0"/>
          <w:numId w:val="0"/>
        </w:numPr>
        <w:ind w:left="432" w:hanging="432"/>
        <w:rPr>
          <w:color w:val="auto"/>
        </w:rPr>
      </w:pPr>
      <w:bookmarkStart w:id="0" w:name="_Toc425776597"/>
      <w:r w:rsidRPr="0052115F">
        <w:rPr>
          <w:color w:val="auto"/>
        </w:rPr>
        <w:lastRenderedPageBreak/>
        <w:t xml:space="preserve">Didaktischer Kommentar zum Schülerarbeitsblatt </w:t>
      </w:r>
      <w:bookmarkEnd w:id="0"/>
    </w:p>
    <w:p w:rsidR="00DC65E9" w:rsidRDefault="00DC65E9" w:rsidP="00DC65E9">
      <w:pPr>
        <w:rPr>
          <w:color w:val="auto"/>
        </w:rPr>
      </w:pPr>
      <w:r>
        <w:rPr>
          <w:color w:val="auto"/>
        </w:rPr>
        <w:t xml:space="preserve">In den vorherigen Unterrichtsstunden sind die chemischen Gesetzte (Gesetz von der Erhaltung der Masse, Gesetz der konstanten Proportionen und das Gesetz der multiplen Proportionen) behandelt worden. Der Schülerversuch V1 ist durchgeführt worden. Auf diesem Arbeitsblatt sollen die </w:t>
      </w:r>
      <w:proofErr w:type="spellStart"/>
      <w:r>
        <w:rPr>
          <w:color w:val="auto"/>
        </w:rPr>
        <w:t>SuS</w:t>
      </w:r>
      <w:proofErr w:type="spellEnd"/>
      <w:r>
        <w:rPr>
          <w:color w:val="auto"/>
        </w:rPr>
        <w:t xml:space="preserve"> nun das Massenverhältnis von Kupfer zu Schwefel in Kupfersulfid ermitteln und im Anschluss die Verhältnisformel von Kupfersulfid bestimmen</w:t>
      </w:r>
      <w:bookmarkStart w:id="1" w:name="_Toc425776598"/>
      <w:r>
        <w:rPr>
          <w:color w:val="auto"/>
        </w:rPr>
        <w:t>. Grundlage für das Arbeitsblatt sind die Ergebnisse des Versuchs V1.</w:t>
      </w:r>
    </w:p>
    <w:p w:rsidR="00DC65E9" w:rsidRPr="0052115F" w:rsidRDefault="00DC65E9" w:rsidP="00DC65E9">
      <w:pPr>
        <w:pStyle w:val="berschrift2"/>
        <w:numPr>
          <w:ilvl w:val="0"/>
          <w:numId w:val="0"/>
        </w:numPr>
        <w:ind w:left="576" w:hanging="576"/>
      </w:pPr>
      <w:r w:rsidRPr="0052115F">
        <w:t>Erwartungshorizont (Kerncurriculum)</w:t>
      </w:r>
      <w:bookmarkEnd w:id="1"/>
    </w:p>
    <w:p w:rsidR="00DC65E9" w:rsidRDefault="00DC65E9" w:rsidP="00DC65E9">
      <w:pPr>
        <w:rPr>
          <w:color w:val="auto"/>
        </w:rPr>
      </w:pPr>
      <w:r>
        <w:rPr>
          <w:color w:val="auto"/>
        </w:rPr>
        <w:t>In Aufgabe 1</w:t>
      </w:r>
      <w:r w:rsidRPr="0052115F">
        <w:rPr>
          <w:color w:val="auto"/>
        </w:rPr>
        <w:t xml:space="preserve"> </w:t>
      </w:r>
      <w:r>
        <w:rPr>
          <w:color w:val="auto"/>
        </w:rPr>
        <w:t xml:space="preserve">sollen die </w:t>
      </w:r>
      <w:proofErr w:type="spellStart"/>
      <w:r>
        <w:rPr>
          <w:color w:val="auto"/>
        </w:rPr>
        <w:t>SuS</w:t>
      </w:r>
      <w:proofErr w:type="spellEnd"/>
      <w:r>
        <w:rPr>
          <w:color w:val="auto"/>
        </w:rPr>
        <w:t xml:space="preserve"> mit Hilfe einer graphischen Auftragung das Massenverhältnis von Kupfer zu Schwefel bestimmen. Durch die Vorgabe eines beschrifteten Achsengitters wird die Aufgabe für </w:t>
      </w:r>
      <w:proofErr w:type="spellStart"/>
      <w:r>
        <w:rPr>
          <w:color w:val="auto"/>
        </w:rPr>
        <w:t>SuS</w:t>
      </w:r>
      <w:proofErr w:type="spellEnd"/>
      <w:r>
        <w:rPr>
          <w:color w:val="auto"/>
        </w:rPr>
        <w:t xml:space="preserve"> der 7./8. Klasse bearbeitbar und erleichtert. Trotzdem erfordert gerade die Verknüpfung mit </w:t>
      </w:r>
      <w:proofErr w:type="gramStart"/>
      <w:r>
        <w:rPr>
          <w:color w:val="auto"/>
        </w:rPr>
        <w:t>mathematischen</w:t>
      </w:r>
      <w:proofErr w:type="gramEnd"/>
      <w:r>
        <w:rPr>
          <w:color w:val="auto"/>
        </w:rPr>
        <w:t xml:space="preserve"> Vorwissen ein gewisses Maß an Anforderung, sodass diese Au</w:t>
      </w:r>
      <w:r>
        <w:rPr>
          <w:color w:val="auto"/>
        </w:rPr>
        <w:t>f</w:t>
      </w:r>
      <w:r>
        <w:rPr>
          <w:color w:val="auto"/>
        </w:rPr>
        <w:t xml:space="preserve">gabe im Anforderungsbereich 2 anzusiedeln ist. </w:t>
      </w:r>
    </w:p>
    <w:p w:rsidR="00DC65E9" w:rsidRPr="0052115F" w:rsidRDefault="00DC65E9" w:rsidP="00DC65E9">
      <w:pPr>
        <w:rPr>
          <w:color w:val="auto"/>
        </w:rPr>
      </w:pPr>
      <w:r>
        <w:rPr>
          <w:color w:val="auto"/>
        </w:rPr>
        <w:t>Aufgabe 2</w:t>
      </w:r>
      <w:r w:rsidRPr="0052115F">
        <w:rPr>
          <w:color w:val="auto"/>
        </w:rPr>
        <w:t xml:space="preserve"> ist im Anforderungsbereich 1 anzusiedeln. Hierbei soll das erlernte Wissen über </w:t>
      </w:r>
      <w:r>
        <w:rPr>
          <w:color w:val="auto"/>
        </w:rPr>
        <w:t xml:space="preserve">das Gesetz der konstanten Proportionen </w:t>
      </w:r>
      <w:r w:rsidRPr="0052115F">
        <w:rPr>
          <w:color w:val="auto"/>
        </w:rPr>
        <w:t>reproduziert werden. Diese Aufgabe kann der Lehrkraft als Überprüfung die</w:t>
      </w:r>
      <w:r>
        <w:rPr>
          <w:color w:val="auto"/>
        </w:rPr>
        <w:t xml:space="preserve">nen, ob alle </w:t>
      </w:r>
      <w:proofErr w:type="spellStart"/>
      <w:r>
        <w:rPr>
          <w:color w:val="auto"/>
        </w:rPr>
        <w:t>SuS</w:t>
      </w:r>
      <w:proofErr w:type="spellEnd"/>
      <w:r>
        <w:rPr>
          <w:color w:val="auto"/>
        </w:rPr>
        <w:t xml:space="preserve"> das Gesetz verstanden haben</w:t>
      </w:r>
      <w:r w:rsidRPr="0052115F">
        <w:rPr>
          <w:color w:val="auto"/>
        </w:rPr>
        <w:t xml:space="preserve">. </w:t>
      </w:r>
      <w:r>
        <w:rPr>
          <w:color w:val="auto"/>
        </w:rPr>
        <w:t>Es stellt eine notwendige Grun</w:t>
      </w:r>
      <w:r>
        <w:rPr>
          <w:color w:val="auto"/>
        </w:rPr>
        <w:t>d</w:t>
      </w:r>
      <w:r>
        <w:rPr>
          <w:color w:val="auto"/>
        </w:rPr>
        <w:t xml:space="preserve">lage für den folgenden Chemieunterricht dar. </w:t>
      </w:r>
    </w:p>
    <w:p w:rsidR="00DC65E9" w:rsidRDefault="00DC65E9" w:rsidP="00DC65E9">
      <w:pPr>
        <w:rPr>
          <w:color w:val="auto"/>
        </w:rPr>
      </w:pPr>
      <w:r>
        <w:rPr>
          <w:color w:val="auto"/>
        </w:rPr>
        <w:t xml:space="preserve">Aufgabe 3 stellt die </w:t>
      </w:r>
      <w:proofErr w:type="spellStart"/>
      <w:r>
        <w:rPr>
          <w:color w:val="auto"/>
        </w:rPr>
        <w:t>SuS</w:t>
      </w:r>
      <w:proofErr w:type="spellEnd"/>
      <w:r>
        <w:rPr>
          <w:color w:val="auto"/>
        </w:rPr>
        <w:t xml:space="preserve"> vor ein zu lösendes Problem. Sie haben in Aufgabe 1 bereits das Masse</w:t>
      </w:r>
      <w:r>
        <w:rPr>
          <w:color w:val="auto"/>
        </w:rPr>
        <w:t>n</w:t>
      </w:r>
      <w:r>
        <w:rPr>
          <w:color w:val="auto"/>
        </w:rPr>
        <w:t>verhältnis von Kupfer zu Schwefel ermittelt. Jetzt sollen sie dieses verknüpfen mit ihrem Vo</w:t>
      </w:r>
      <w:r>
        <w:rPr>
          <w:color w:val="auto"/>
        </w:rPr>
        <w:t>r</w:t>
      </w:r>
      <w:r>
        <w:rPr>
          <w:color w:val="auto"/>
        </w:rPr>
        <w:t xml:space="preserve">wissen über die Atommassen und aus dieser Verknüpfung die Verhältnisformel herleiten. Diese Aufgabe ist sehr herausfordernd für </w:t>
      </w:r>
      <w:proofErr w:type="spellStart"/>
      <w:r>
        <w:rPr>
          <w:color w:val="auto"/>
        </w:rPr>
        <w:t>SuS</w:t>
      </w:r>
      <w:proofErr w:type="spellEnd"/>
      <w:r>
        <w:rPr>
          <w:color w:val="auto"/>
        </w:rPr>
        <w:t xml:space="preserve"> der 7./8. Jahrgangsstufe. Ob die </w:t>
      </w:r>
      <w:proofErr w:type="spellStart"/>
      <w:r>
        <w:rPr>
          <w:color w:val="auto"/>
        </w:rPr>
        <w:t>SuS</w:t>
      </w:r>
      <w:proofErr w:type="spellEnd"/>
      <w:r>
        <w:rPr>
          <w:color w:val="auto"/>
        </w:rPr>
        <w:t xml:space="preserve"> tatsächlich alle auf das richtige Ergebnis kommen, ist recht unwahrscheinlich. Allerdings stellt die Aufgabe die </w:t>
      </w:r>
      <w:proofErr w:type="spellStart"/>
      <w:r>
        <w:rPr>
          <w:color w:val="auto"/>
        </w:rPr>
        <w:t>SuS</w:t>
      </w:r>
      <w:proofErr w:type="spellEnd"/>
      <w:r>
        <w:rPr>
          <w:color w:val="auto"/>
        </w:rPr>
        <w:t xml:space="preserve"> vor eine Aufgabe, die sie in einer Gruppenarbeit, durch gegenseitigen Austausch, versuchen zu bewältigen. Möglicherweise muss die Lehrkraft gezielt Impulse und Denkanstößen hineingeben, damit </w:t>
      </w:r>
      <w:proofErr w:type="spellStart"/>
      <w:r>
        <w:rPr>
          <w:color w:val="auto"/>
        </w:rPr>
        <w:t>SuS</w:t>
      </w:r>
      <w:proofErr w:type="spellEnd"/>
      <w:r>
        <w:rPr>
          <w:color w:val="auto"/>
        </w:rPr>
        <w:t xml:space="preserve"> ohne Ideen nicht demotiviert werden. Hilfekarten bieten sich an. Diese Aufgabe ist dem Anforderungsbereich 3 zuzuordnen. </w:t>
      </w:r>
    </w:p>
    <w:p w:rsidR="00DC65E9" w:rsidRDefault="00DC65E9" w:rsidP="00DC65E9">
      <w:pPr>
        <w:rPr>
          <w:color w:val="auto"/>
        </w:rPr>
      </w:pPr>
    </w:p>
    <w:p w:rsidR="00DC65E9" w:rsidRDefault="00DC65E9" w:rsidP="00DC65E9">
      <w:pPr>
        <w:rPr>
          <w:color w:val="auto"/>
        </w:rPr>
      </w:pPr>
    </w:p>
    <w:p w:rsidR="00DC65E9" w:rsidRPr="0052115F" w:rsidRDefault="00DC65E9" w:rsidP="00DC65E9">
      <w:pPr>
        <w:rPr>
          <w:color w:val="auto"/>
        </w:rPr>
      </w:pPr>
    </w:p>
    <w:p w:rsidR="00DC65E9" w:rsidRPr="0052115F" w:rsidRDefault="00DC65E9" w:rsidP="00DC65E9">
      <w:pPr>
        <w:rPr>
          <w:color w:val="auto"/>
        </w:rPr>
      </w:pPr>
    </w:p>
    <w:p w:rsidR="00DC65E9" w:rsidRPr="0052115F" w:rsidRDefault="00DC65E9" w:rsidP="00DC65E9">
      <w:pPr>
        <w:pStyle w:val="berschrift2"/>
        <w:numPr>
          <w:ilvl w:val="0"/>
          <w:numId w:val="0"/>
        </w:numPr>
        <w:ind w:left="576" w:hanging="576"/>
        <w:rPr>
          <w:color w:val="auto"/>
        </w:rPr>
      </w:pPr>
      <w:bookmarkStart w:id="2" w:name="_Toc425776599"/>
      <w:r w:rsidRPr="0052115F">
        <w:rPr>
          <w:color w:val="auto"/>
        </w:rPr>
        <w:lastRenderedPageBreak/>
        <w:t>Erwartungshorizont (Inhaltlich)</w:t>
      </w:r>
      <w:bookmarkEnd w:id="2"/>
    </w:p>
    <w:p w:rsidR="00DC65E9" w:rsidRPr="0052115F" w:rsidRDefault="00DC65E9" w:rsidP="00DC65E9">
      <w:pPr>
        <w:rPr>
          <w:rFonts w:asciiTheme="majorHAnsi" w:hAnsiTheme="majorHAnsi"/>
          <w:b/>
          <w:color w:val="auto"/>
        </w:rPr>
      </w:pPr>
      <w:r w:rsidRPr="0052115F">
        <w:rPr>
          <w:rFonts w:asciiTheme="majorHAnsi" w:hAnsiTheme="majorHAnsi"/>
          <w:b/>
          <w:color w:val="auto"/>
        </w:rPr>
        <w:t xml:space="preserve">Aufgabe 1: </w:t>
      </w:r>
    </w:p>
    <w:p w:rsidR="00DC65E9" w:rsidRDefault="00DC65E9" w:rsidP="00DC65E9">
      <w:pPr>
        <w:rPr>
          <w:rFonts w:asciiTheme="majorHAnsi" w:eastAsiaTheme="minorEastAsia" w:hAnsiTheme="majorHAnsi"/>
          <w:b/>
          <w:color w:val="auto"/>
        </w:rPr>
      </w:pPr>
      <w:r w:rsidRPr="00167EF8">
        <w:rPr>
          <w:rFonts w:asciiTheme="majorHAnsi" w:hAnsiTheme="majorHAnsi"/>
          <w:noProof/>
          <w:color w:val="auto"/>
          <w:lang w:eastAsia="de-DE"/>
        </w:rPr>
        <w:drawing>
          <wp:inline distT="0" distB="0" distL="0" distR="0">
            <wp:extent cx="4295775" cy="2609850"/>
            <wp:effectExtent l="19050" t="0" r="9525" b="0"/>
            <wp:docPr id="46" name="Diagram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C65E9" w:rsidRPr="00870A7E" w:rsidRDefault="00DC65E9" w:rsidP="00DC65E9">
      <w:pPr>
        <w:rPr>
          <w:rFonts w:asciiTheme="majorHAnsi" w:eastAsiaTheme="minorEastAsia" w:hAnsiTheme="majorHAnsi"/>
          <w:color w:val="auto"/>
        </w:rPr>
      </w:pPr>
      <w:r>
        <w:rPr>
          <w:rFonts w:asciiTheme="majorHAnsi" w:eastAsiaTheme="minorEastAsia" w:hAnsiTheme="majorHAnsi"/>
          <w:color w:val="auto"/>
        </w:rPr>
        <w:t>Das Verhältnis von Kupfer zu Schwefel liegt bei 4:1.</w:t>
      </w:r>
    </w:p>
    <w:p w:rsidR="00DC65E9" w:rsidRPr="0052115F" w:rsidRDefault="00DC65E9" w:rsidP="00DC65E9">
      <w:pPr>
        <w:rPr>
          <w:rFonts w:asciiTheme="majorHAnsi" w:eastAsiaTheme="minorEastAsia" w:hAnsiTheme="majorHAnsi"/>
          <w:b/>
          <w:color w:val="auto"/>
        </w:rPr>
      </w:pPr>
      <w:r w:rsidRPr="0052115F">
        <w:rPr>
          <w:rFonts w:asciiTheme="majorHAnsi" w:eastAsiaTheme="minorEastAsia" w:hAnsiTheme="majorHAnsi"/>
          <w:b/>
          <w:color w:val="auto"/>
        </w:rPr>
        <w:t xml:space="preserve">Aufgabe 2: </w:t>
      </w:r>
    </w:p>
    <w:p w:rsidR="00DC65E9" w:rsidRPr="0052115F" w:rsidRDefault="00DC65E9" w:rsidP="00DC65E9">
      <w:pPr>
        <w:rPr>
          <w:rFonts w:asciiTheme="majorHAnsi" w:eastAsiaTheme="minorEastAsia" w:hAnsiTheme="majorHAnsi"/>
          <w:color w:val="auto"/>
        </w:rPr>
      </w:pPr>
      <w:r>
        <w:rPr>
          <w:rFonts w:asciiTheme="majorHAnsi" w:eastAsiaTheme="minorEastAsia" w:hAnsiTheme="majorHAnsi"/>
          <w:color w:val="auto"/>
        </w:rPr>
        <w:t>Das Gesetz der konstanten Proportionen besagt, dass die Elemente in einer bestimmten chem</w:t>
      </w:r>
      <w:r>
        <w:rPr>
          <w:rFonts w:asciiTheme="majorHAnsi" w:eastAsiaTheme="minorEastAsia" w:hAnsiTheme="majorHAnsi"/>
          <w:color w:val="auto"/>
        </w:rPr>
        <w:t>i</w:t>
      </w:r>
      <w:r>
        <w:rPr>
          <w:rFonts w:asciiTheme="majorHAnsi" w:eastAsiaTheme="minorEastAsia" w:hAnsiTheme="majorHAnsi"/>
          <w:color w:val="auto"/>
        </w:rPr>
        <w:t xml:space="preserve">schen Verbindung immer im gleichen Massenverhältnis vorkommen. </w:t>
      </w:r>
    </w:p>
    <w:p w:rsidR="00DC65E9" w:rsidRDefault="00DC65E9" w:rsidP="00DC65E9">
      <w:pPr>
        <w:rPr>
          <w:rFonts w:asciiTheme="majorHAnsi" w:eastAsiaTheme="minorEastAsia" w:hAnsiTheme="majorHAnsi"/>
          <w:b/>
          <w:color w:val="auto"/>
        </w:rPr>
      </w:pPr>
      <w:r w:rsidRPr="0052115F">
        <w:rPr>
          <w:rFonts w:asciiTheme="majorHAnsi" w:eastAsiaTheme="minorEastAsia" w:hAnsiTheme="majorHAnsi"/>
          <w:b/>
          <w:color w:val="auto"/>
        </w:rPr>
        <w:t>Aufgabe 3:</w:t>
      </w:r>
    </w:p>
    <w:p w:rsidR="00DC65E9" w:rsidRDefault="00DC65E9" w:rsidP="00DC65E9">
      <w:pPr>
        <w:rPr>
          <w:rFonts w:asciiTheme="majorHAnsi" w:eastAsiaTheme="minorEastAsia" w:hAnsiTheme="majorHAnsi"/>
          <w:color w:val="auto"/>
        </w:rPr>
      </w:pPr>
      <w:r>
        <w:rPr>
          <w:rFonts w:asciiTheme="majorHAnsi" w:eastAsiaTheme="minorEastAsia" w:hAnsiTheme="majorHAnsi"/>
          <w:color w:val="auto"/>
        </w:rPr>
        <w:t xml:space="preserve">Bei der Synthese von Kupfersulfid ergab sich ein Masseverhältnis von 4:1 für    m(Kupferportion): m(Schwefelportion). Als m(Kupferportion) wird das Produkt aus der Anzahl der Kupferatome und der Masse eines Kupferatoms (1Cu). Für Schwefel gilt das gleiche. </w:t>
      </w:r>
      <w:r w:rsidRPr="001D7602">
        <w:rPr>
          <w:rFonts w:asciiTheme="majorHAnsi" w:eastAsiaTheme="minorEastAsia" w:hAnsiTheme="majorHAnsi"/>
          <w:color w:val="auto"/>
        </w:rPr>
        <w:t>Wird angenommen</w:t>
      </w:r>
      <w:r>
        <w:rPr>
          <w:rFonts w:asciiTheme="majorHAnsi" w:eastAsiaTheme="minorEastAsia" w:hAnsiTheme="majorHAnsi"/>
          <w:color w:val="auto"/>
        </w:rPr>
        <w:t xml:space="preserve">, dass eine Kupferportion aus a Kupferatomen und eine Schwefelportion aus b Schwefelatomen besteht, so lässt sich folgende Beziehung aufstellen: </w:t>
      </w:r>
      <m:oMath>
        <m:r>
          <m:rPr>
            <m:nor/>
          </m:rPr>
          <w:rPr>
            <w:rFonts w:eastAsiaTheme="minorEastAsia"/>
            <w:color w:val="auto"/>
          </w:rPr>
          <m:t xml:space="preserve">m(Kupferportion)= </m:t>
        </m:r>
        <w:proofErr w:type="spellStart"/>
        <m:r>
          <m:rPr>
            <m:nor/>
          </m:rPr>
          <w:rPr>
            <w:rFonts w:eastAsiaTheme="minorEastAsia"/>
            <w:color w:val="auto"/>
          </w:rPr>
          <m:t>a</m:t>
        </m:r>
        <m:r>
          <m:rPr>
            <m:nor/>
          </m:rPr>
          <w:rPr>
            <w:rFonts w:ascii="Cambria Math" w:eastAsiaTheme="minorEastAsia" w:hAnsi="Cambria Math"/>
            <w:color w:val="auto"/>
          </w:rPr>
          <m:t>∙m</m:t>
        </m:r>
        <w:proofErr w:type="spellEnd"/>
        <m:r>
          <m:rPr>
            <m:nor/>
          </m:rPr>
          <w:rPr>
            <w:rFonts w:ascii="Cambria Math" w:eastAsiaTheme="minorEastAsia" w:hAnsi="Cambria Math"/>
            <w:color w:val="auto"/>
          </w:rPr>
          <m:t>(1Cu)</m:t>
        </m:r>
      </m:oMath>
      <w:r>
        <w:rPr>
          <w:rFonts w:asciiTheme="majorHAnsi" w:eastAsiaTheme="minorEastAsia" w:hAnsiTheme="majorHAnsi"/>
          <w:color w:val="auto"/>
        </w:rPr>
        <w:t xml:space="preserve"> und </w:t>
      </w:r>
      <m:oMath>
        <m:r>
          <m:rPr>
            <m:nor/>
          </m:rPr>
          <w:rPr>
            <w:rFonts w:eastAsiaTheme="minorEastAsia"/>
            <w:color w:val="auto"/>
          </w:rPr>
          <m:t xml:space="preserve">m(Schwefelportion)= </m:t>
        </m:r>
        <w:proofErr w:type="spellStart"/>
        <m:r>
          <m:rPr>
            <m:nor/>
          </m:rPr>
          <w:rPr>
            <w:rFonts w:eastAsiaTheme="minorEastAsia"/>
            <w:color w:val="auto"/>
          </w:rPr>
          <m:t>b</m:t>
        </m:r>
        <m:r>
          <m:rPr>
            <m:nor/>
          </m:rPr>
          <w:rPr>
            <w:rFonts w:ascii="Cambria Math" w:eastAsiaTheme="minorEastAsia" w:hAnsi="Cambria Math"/>
            <w:color w:val="auto"/>
          </w:rPr>
          <m:t>∙</m:t>
        </m:r>
        <m:r>
          <m:rPr>
            <m:nor/>
          </m:rPr>
          <w:rPr>
            <w:rFonts w:eastAsiaTheme="minorEastAsia"/>
            <w:color w:val="auto"/>
          </w:rPr>
          <m:t>m</m:t>
        </m:r>
        <w:proofErr w:type="spellEnd"/>
        <m:r>
          <m:rPr>
            <m:nor/>
          </m:rPr>
          <w:rPr>
            <w:rFonts w:eastAsiaTheme="minorEastAsia"/>
            <w:color w:val="auto"/>
          </w:rPr>
          <m:t>(1S)</m:t>
        </m:r>
      </m:oMath>
      <w:r>
        <w:rPr>
          <w:rFonts w:asciiTheme="majorHAnsi" w:eastAsiaTheme="minorEastAsia" w:hAnsiTheme="majorHAnsi"/>
          <w:color w:val="auto"/>
        </w:rPr>
        <w:t>. Verknüpft man diese Bezi</w:t>
      </w:r>
      <w:r>
        <w:rPr>
          <w:rFonts w:asciiTheme="majorHAnsi" w:eastAsiaTheme="minorEastAsia" w:hAnsiTheme="majorHAnsi"/>
          <w:color w:val="auto"/>
        </w:rPr>
        <w:t>e</w:t>
      </w:r>
      <w:r>
        <w:rPr>
          <w:rFonts w:asciiTheme="majorHAnsi" w:eastAsiaTheme="minorEastAsia" w:hAnsiTheme="majorHAnsi"/>
          <w:color w:val="auto"/>
        </w:rPr>
        <w:t xml:space="preserve">hung nun mit dem Masseverhältnis und ersetzt m(1Cu) und m(1S) durch die Atommasen ergibt sich diese Gleichung: </w:t>
      </w:r>
      <m:oMath>
        <m:f>
          <m:fPr>
            <m:ctrlPr>
              <w:rPr>
                <w:rFonts w:ascii="Cambria Math" w:eastAsia="MS Mincho" w:hAnsi="Cambria Math" w:cs="MS Mincho"/>
                <w:color w:val="auto"/>
              </w:rPr>
            </m:ctrlPr>
          </m:fPr>
          <m:num>
            <m:r>
              <m:rPr>
                <m:sty m:val="p"/>
              </m:rPr>
              <w:rPr>
                <w:rFonts w:eastAsia="MS Mincho" w:cs="MS Mincho"/>
                <w:color w:val="auto"/>
              </w:rPr>
              <m:t>a</m:t>
            </m:r>
          </m:num>
          <m:den>
            <m:r>
              <m:rPr>
                <m:sty m:val="p"/>
              </m:rPr>
              <w:rPr>
                <w:rFonts w:eastAsia="MS Mincho" w:cs="MS Mincho"/>
                <w:color w:val="auto"/>
              </w:rPr>
              <m:t>b</m:t>
            </m:r>
          </m:den>
        </m:f>
        <m:r>
          <m:rPr>
            <m:sty m:val="p"/>
          </m:rPr>
          <w:rPr>
            <w:rFonts w:eastAsia="MS Mincho" w:cs="MS Mincho"/>
            <w:color w:val="auto"/>
          </w:rPr>
          <m:t>=</m:t>
        </m:r>
        <m:f>
          <m:fPr>
            <m:ctrlPr>
              <w:rPr>
                <w:rFonts w:ascii="Cambria Math" w:eastAsia="MS Mincho" w:hAnsi="Cambria Math" w:cs="MS Mincho"/>
                <w:color w:val="auto"/>
              </w:rPr>
            </m:ctrlPr>
          </m:fPr>
          <m:num>
            <m:r>
              <m:rPr>
                <m:sty m:val="p"/>
              </m:rPr>
              <w:rPr>
                <w:rFonts w:eastAsia="MS Mincho" w:cs="MS Mincho"/>
                <w:color w:val="auto"/>
              </w:rPr>
              <m:t>4∙m(1S)</m:t>
            </m:r>
          </m:num>
          <m:den>
            <m:r>
              <m:rPr>
                <m:sty m:val="p"/>
              </m:rPr>
              <w:rPr>
                <w:rFonts w:eastAsia="MS Mincho" w:cs="MS Mincho"/>
                <w:color w:val="auto"/>
              </w:rPr>
              <m:t>m(1Cu)</m:t>
            </m:r>
          </m:den>
        </m:f>
        <m:r>
          <m:rPr>
            <m:sty m:val="p"/>
          </m:rPr>
          <w:rPr>
            <w:rFonts w:eastAsia="MS Mincho" w:cs="MS Mincho"/>
            <w:color w:val="auto"/>
          </w:rPr>
          <m:t>=</m:t>
        </m:r>
        <m:f>
          <m:fPr>
            <m:ctrlPr>
              <w:rPr>
                <w:rFonts w:ascii="Cambria Math" w:eastAsia="MS Mincho" w:hAnsi="Cambria Math" w:cs="MS Mincho"/>
                <w:color w:val="auto"/>
              </w:rPr>
            </m:ctrlPr>
          </m:fPr>
          <m:num>
            <m:r>
              <m:rPr>
                <m:sty m:val="p"/>
              </m:rPr>
              <w:rPr>
                <w:rFonts w:eastAsia="MS Mincho" w:cs="MS Mincho"/>
                <w:color w:val="auto"/>
              </w:rPr>
              <m:t>4∙32,07 u</m:t>
            </m:r>
          </m:num>
          <m:den>
            <m:r>
              <m:rPr>
                <m:sty m:val="p"/>
              </m:rPr>
              <w:rPr>
                <w:rFonts w:eastAsia="MS Mincho" w:cs="MS Mincho"/>
                <w:color w:val="auto"/>
              </w:rPr>
              <m:t>63,55 u</m:t>
            </m:r>
          </m:den>
        </m:f>
        <m:r>
          <m:rPr>
            <m:sty m:val="p"/>
          </m:rPr>
          <w:rPr>
            <w:rFonts w:eastAsia="MS Mincho" w:cs="MS Mincho"/>
            <w:color w:val="auto"/>
          </w:rPr>
          <m:t>=2,0</m:t>
        </m:r>
      </m:oMath>
      <w:r>
        <w:rPr>
          <w:rFonts w:asciiTheme="majorHAnsi" w:eastAsiaTheme="minorEastAsia" w:hAnsiTheme="majorHAnsi"/>
          <w:color w:val="auto"/>
          <w:sz w:val="24"/>
        </w:rPr>
        <w:t xml:space="preserve">. </w:t>
      </w:r>
      <w:r>
        <w:rPr>
          <w:rFonts w:asciiTheme="majorHAnsi" w:eastAsiaTheme="minorEastAsia" w:hAnsiTheme="majorHAnsi"/>
          <w:color w:val="auto"/>
        </w:rPr>
        <w:t>Das Anzahlverhältnis, in dem die Atome der El</w:t>
      </w:r>
      <w:r>
        <w:rPr>
          <w:rFonts w:asciiTheme="majorHAnsi" w:eastAsiaTheme="minorEastAsia" w:hAnsiTheme="majorHAnsi"/>
          <w:color w:val="auto"/>
        </w:rPr>
        <w:t>e</w:t>
      </w:r>
      <w:r>
        <w:rPr>
          <w:rFonts w:asciiTheme="majorHAnsi" w:eastAsiaTheme="minorEastAsia" w:hAnsiTheme="majorHAnsi"/>
          <w:color w:val="auto"/>
        </w:rPr>
        <w:t>mente reagiert haben ist a:b=2:1.</w:t>
      </w:r>
    </w:p>
    <w:p w:rsidR="00DC65E9" w:rsidRDefault="00DC65E9" w:rsidP="00DC65E9">
      <w:pPr>
        <w:rPr>
          <w:rFonts w:asciiTheme="majorHAnsi" w:eastAsiaTheme="minorEastAsia" w:hAnsiTheme="majorHAnsi"/>
          <w:color w:val="auto"/>
        </w:rPr>
      </w:pPr>
      <w:r>
        <w:rPr>
          <w:rFonts w:asciiTheme="majorHAnsi" w:eastAsiaTheme="minorEastAsia" w:hAnsiTheme="majorHAnsi"/>
          <w:color w:val="auto"/>
        </w:rPr>
        <w:t>Aus der Angabe der Atomarten und dem Anzahlverhältnis der Atome ergibt sich die Zusamme</w:t>
      </w:r>
      <w:r>
        <w:rPr>
          <w:rFonts w:asciiTheme="majorHAnsi" w:eastAsiaTheme="minorEastAsia" w:hAnsiTheme="majorHAnsi"/>
          <w:color w:val="auto"/>
        </w:rPr>
        <w:t>n</w:t>
      </w:r>
      <w:r>
        <w:rPr>
          <w:rFonts w:asciiTheme="majorHAnsi" w:eastAsiaTheme="minorEastAsia" w:hAnsiTheme="majorHAnsi"/>
          <w:color w:val="auto"/>
        </w:rPr>
        <w:t>setzung einer Verbindung. In diesem Beispiel: Cu</w:t>
      </w:r>
      <w:r>
        <w:rPr>
          <w:rFonts w:asciiTheme="majorHAnsi" w:eastAsiaTheme="minorEastAsia" w:hAnsiTheme="majorHAnsi"/>
          <w:color w:val="auto"/>
          <w:vertAlign w:val="subscript"/>
        </w:rPr>
        <w:t>2</w:t>
      </w:r>
      <w:r>
        <w:rPr>
          <w:rFonts w:asciiTheme="majorHAnsi" w:eastAsiaTheme="minorEastAsia" w:hAnsiTheme="majorHAnsi"/>
          <w:color w:val="auto"/>
        </w:rPr>
        <w:t>S</w:t>
      </w:r>
      <w:r>
        <w:rPr>
          <w:rFonts w:asciiTheme="majorHAnsi" w:eastAsiaTheme="minorEastAsia" w:hAnsiTheme="majorHAnsi"/>
          <w:color w:val="auto"/>
          <w:vertAlign w:val="subscript"/>
        </w:rPr>
        <w:t>1</w:t>
      </w:r>
      <w:r>
        <w:rPr>
          <w:rFonts w:asciiTheme="majorHAnsi" w:eastAsiaTheme="minorEastAsia" w:hAnsiTheme="majorHAnsi"/>
          <w:color w:val="auto"/>
        </w:rPr>
        <w:t>.</w:t>
      </w:r>
    </w:p>
    <w:p w:rsidR="00DC65E9" w:rsidRPr="00E844AE" w:rsidRDefault="00DC65E9" w:rsidP="00DC65E9">
      <w:pPr>
        <w:rPr>
          <w:rFonts w:asciiTheme="majorHAnsi" w:eastAsiaTheme="minorEastAsia" w:hAnsiTheme="majorHAnsi"/>
          <w:color w:val="auto"/>
        </w:rPr>
      </w:pPr>
      <w:r>
        <w:rPr>
          <w:rFonts w:asciiTheme="majorHAnsi" w:eastAsiaTheme="minorEastAsia" w:hAnsiTheme="majorHAnsi"/>
          <w:color w:val="auto"/>
        </w:rPr>
        <w:t xml:space="preserve">Literatur: Eisner, W., </w:t>
      </w:r>
      <w:proofErr w:type="spellStart"/>
      <w:r>
        <w:rPr>
          <w:rFonts w:asciiTheme="majorHAnsi" w:eastAsiaTheme="minorEastAsia" w:hAnsiTheme="majorHAnsi"/>
          <w:color w:val="auto"/>
        </w:rPr>
        <w:t>elemente</w:t>
      </w:r>
      <w:proofErr w:type="spellEnd"/>
      <w:r>
        <w:rPr>
          <w:rFonts w:asciiTheme="majorHAnsi" w:eastAsiaTheme="minorEastAsia" w:hAnsiTheme="majorHAnsi"/>
          <w:color w:val="auto"/>
        </w:rPr>
        <w:t xml:space="preserve"> </w:t>
      </w:r>
      <w:proofErr w:type="spellStart"/>
      <w:r>
        <w:rPr>
          <w:rFonts w:asciiTheme="majorHAnsi" w:eastAsiaTheme="minorEastAsia" w:hAnsiTheme="majorHAnsi"/>
          <w:color w:val="auto"/>
        </w:rPr>
        <w:t>chemie</w:t>
      </w:r>
      <w:proofErr w:type="spellEnd"/>
      <w:r>
        <w:rPr>
          <w:rFonts w:asciiTheme="majorHAnsi" w:eastAsiaTheme="minorEastAsia" w:hAnsiTheme="majorHAnsi"/>
          <w:color w:val="auto"/>
        </w:rPr>
        <w:t xml:space="preserve"> I, Unterrichtswerk für Gymnasien, Klett Verlag.</w:t>
      </w:r>
    </w:p>
    <w:p w:rsidR="00DC65E9" w:rsidRPr="00922B61" w:rsidRDefault="00DC65E9" w:rsidP="00DC65E9">
      <w:pPr>
        <w:rPr>
          <w:rFonts w:asciiTheme="majorHAnsi" w:eastAsiaTheme="minorEastAsia" w:hAnsiTheme="majorHAnsi"/>
          <w:color w:val="auto"/>
        </w:rPr>
      </w:pPr>
    </w:p>
    <w:sectPr w:rsidR="00DC65E9" w:rsidRPr="00922B6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F05E16" w:rsidRPr="00337B69" w:rsidRDefault="00DC65E9" w:rsidP="00337B69">
        <w:pPr>
          <w:pStyle w:val="Kopfzeile"/>
          <w:tabs>
            <w:tab w:val="left" w:pos="0"/>
            <w:tab w:val="left" w:pos="284"/>
          </w:tabs>
          <w:jc w:val="right"/>
          <w:rPr>
            <w:rFonts w:asciiTheme="majorHAnsi" w:hAnsiTheme="majorHAnsi"/>
            <w:sz w:val="20"/>
            <w:szCs w:val="20"/>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C65E9"/>
    <w:rsid w:val="003F61E8"/>
    <w:rsid w:val="006838B0"/>
    <w:rsid w:val="00741064"/>
    <w:rsid w:val="00CA5D71"/>
    <w:rsid w:val="00DC65E9"/>
    <w:rsid w:val="00F508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65E9"/>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C65E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C65E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C65E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C65E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C65E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C65E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C65E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C65E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C65E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65E9"/>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C65E9"/>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C65E9"/>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C65E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C65E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C65E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C65E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C65E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C65E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C65E9"/>
    <w:pPr>
      <w:spacing w:line="240" w:lineRule="auto"/>
    </w:pPr>
    <w:rPr>
      <w:bCs/>
      <w:color w:val="auto"/>
      <w:sz w:val="18"/>
      <w:szCs w:val="18"/>
    </w:rPr>
  </w:style>
  <w:style w:type="paragraph" w:styleId="Kopfzeile">
    <w:name w:val="header"/>
    <w:basedOn w:val="Standard"/>
    <w:link w:val="KopfzeileZchn"/>
    <w:uiPriority w:val="99"/>
    <w:unhideWhenUsed/>
    <w:rsid w:val="00DC65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65E9"/>
    <w:rPr>
      <w:rFonts w:ascii="Cambria" w:hAnsi="Cambria"/>
      <w:color w:val="1D1B11" w:themeColor="background2" w:themeShade="1A"/>
    </w:rPr>
  </w:style>
  <w:style w:type="table" w:styleId="HellesRaster-Akzent5">
    <w:name w:val="Light Grid Accent 5"/>
    <w:basedOn w:val="NormaleTabelle"/>
    <w:uiPriority w:val="62"/>
    <w:rsid w:val="00DC65E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prechblasentext">
    <w:name w:val="Balloon Text"/>
    <w:basedOn w:val="Standard"/>
    <w:link w:val="SprechblasentextZchn"/>
    <w:uiPriority w:val="99"/>
    <w:semiHidden/>
    <w:unhideWhenUsed/>
    <w:rsid w:val="00DC65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65E9"/>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lineMarker"/>
        <c:ser>
          <c:idx val="0"/>
          <c:order val="0"/>
          <c:spPr>
            <a:ln w="28575">
              <a:noFill/>
            </a:ln>
          </c:spPr>
          <c:trendline>
            <c:trendlineType val="linear"/>
          </c:trendline>
          <c:xVal>
            <c:numLit>
              <c:formatCode>General</c:formatCode>
              <c:ptCount val="1"/>
              <c:pt idx="0">
                <c:v>0</c:v>
              </c:pt>
            </c:numLit>
          </c:xVal>
          <c:yVal>
            <c:numLit>
              <c:formatCode>General</c:formatCode>
              <c:ptCount val="1"/>
              <c:pt idx="0">
                <c:v>0</c:v>
              </c:pt>
            </c:numLit>
          </c:yVal>
        </c:ser>
        <c:axId val="111954944"/>
        <c:axId val="113722496"/>
      </c:scatterChart>
      <c:valAx>
        <c:axId val="111954944"/>
        <c:scaling>
          <c:orientation val="minMax"/>
        </c:scaling>
        <c:axPos val="b"/>
        <c:majorGridlines/>
        <c:minorGridlines/>
        <c:title>
          <c:tx>
            <c:rich>
              <a:bodyPr/>
              <a:lstStyle/>
              <a:p>
                <a:pPr>
                  <a:defRPr/>
                </a:pPr>
                <a:r>
                  <a:rPr lang="de-DE"/>
                  <a:t>m</a:t>
                </a:r>
                <a:r>
                  <a:rPr lang="de-DE" baseline="0"/>
                  <a:t> (Kupfer) [g]</a:t>
                </a:r>
                <a:endParaRPr lang="de-DE"/>
              </a:p>
            </c:rich>
          </c:tx>
        </c:title>
        <c:numFmt formatCode="General" sourceLinked="1"/>
        <c:tickLblPos val="nextTo"/>
        <c:crossAx val="113722496"/>
        <c:crosses val="autoZero"/>
        <c:crossBetween val="midCat"/>
      </c:valAx>
      <c:valAx>
        <c:axId val="113722496"/>
        <c:scaling>
          <c:orientation val="minMax"/>
          <c:max val="0.25"/>
        </c:scaling>
        <c:axPos val="l"/>
        <c:majorGridlines/>
        <c:title>
          <c:tx>
            <c:rich>
              <a:bodyPr rot="-5400000" vert="horz"/>
              <a:lstStyle/>
              <a:p>
                <a:pPr>
                  <a:defRPr/>
                </a:pPr>
                <a:r>
                  <a:rPr lang="de-DE"/>
                  <a:t>m</a:t>
                </a:r>
                <a:r>
                  <a:rPr lang="de-DE" baseline="0"/>
                  <a:t> (Schwefel) [g]</a:t>
                </a:r>
                <a:endParaRPr lang="de-DE"/>
              </a:p>
            </c:rich>
          </c:tx>
        </c:title>
        <c:numFmt formatCode="General" sourceLinked="1"/>
        <c:tickLblPos val="nextTo"/>
        <c:crossAx val="111954944"/>
        <c:crosses val="autoZero"/>
        <c:crossBetween val="midCat"/>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de-DE"/>
  <c:chart>
    <c:plotArea>
      <c:layout/>
      <c:scatterChart>
        <c:scatterStyle val="lineMarker"/>
        <c:ser>
          <c:idx val="0"/>
          <c:order val="0"/>
          <c:spPr>
            <a:ln w="28575">
              <a:noFill/>
            </a:ln>
          </c:spPr>
          <c:trendline>
            <c:trendlineType val="linear"/>
          </c:trendline>
          <c:xVal>
            <c:numRef>
              <c:f>Tabelle1!$A$1:$A$4</c:f>
              <c:numCache>
                <c:formatCode>General</c:formatCode>
                <c:ptCount val="4"/>
                <c:pt idx="0">
                  <c:v>0.2</c:v>
                </c:pt>
                <c:pt idx="1">
                  <c:v>0.33000000000000096</c:v>
                </c:pt>
                <c:pt idx="2">
                  <c:v>0.60000000000000064</c:v>
                </c:pt>
                <c:pt idx="3">
                  <c:v>0.77000000000000168</c:v>
                </c:pt>
              </c:numCache>
            </c:numRef>
          </c:xVal>
          <c:yVal>
            <c:numRef>
              <c:f>Tabelle1!$B$1:$B$4</c:f>
              <c:numCache>
                <c:formatCode>General</c:formatCode>
                <c:ptCount val="4"/>
                <c:pt idx="0">
                  <c:v>0.05</c:v>
                </c:pt>
                <c:pt idx="1">
                  <c:v>9.0000000000000024E-2</c:v>
                </c:pt>
                <c:pt idx="2">
                  <c:v>0.14000000000000001</c:v>
                </c:pt>
                <c:pt idx="3">
                  <c:v>0.2</c:v>
                </c:pt>
              </c:numCache>
            </c:numRef>
          </c:yVal>
        </c:ser>
        <c:axId val="113734784"/>
        <c:axId val="113736704"/>
      </c:scatterChart>
      <c:valAx>
        <c:axId val="113734784"/>
        <c:scaling>
          <c:orientation val="minMax"/>
        </c:scaling>
        <c:axPos val="b"/>
        <c:majorGridlines/>
        <c:minorGridlines/>
        <c:title>
          <c:tx>
            <c:rich>
              <a:bodyPr/>
              <a:lstStyle/>
              <a:p>
                <a:pPr>
                  <a:defRPr/>
                </a:pPr>
                <a:r>
                  <a:rPr lang="de-DE"/>
                  <a:t>m</a:t>
                </a:r>
                <a:r>
                  <a:rPr lang="de-DE" baseline="0"/>
                  <a:t> (Kupfer) [g]</a:t>
                </a:r>
                <a:endParaRPr lang="de-DE"/>
              </a:p>
            </c:rich>
          </c:tx>
        </c:title>
        <c:numFmt formatCode="General" sourceLinked="1"/>
        <c:tickLblPos val="nextTo"/>
        <c:crossAx val="113736704"/>
        <c:crosses val="autoZero"/>
        <c:crossBetween val="midCat"/>
      </c:valAx>
      <c:valAx>
        <c:axId val="113736704"/>
        <c:scaling>
          <c:orientation val="minMax"/>
        </c:scaling>
        <c:axPos val="l"/>
        <c:majorGridlines/>
        <c:title>
          <c:tx>
            <c:rich>
              <a:bodyPr rot="-5400000" vert="horz"/>
              <a:lstStyle/>
              <a:p>
                <a:pPr>
                  <a:defRPr/>
                </a:pPr>
                <a:r>
                  <a:rPr lang="de-DE"/>
                  <a:t>m</a:t>
                </a:r>
                <a:r>
                  <a:rPr lang="de-DE" baseline="0"/>
                  <a:t> (Schwefel) [g]</a:t>
                </a:r>
                <a:endParaRPr lang="de-DE"/>
              </a:p>
            </c:rich>
          </c:tx>
        </c:title>
        <c:numFmt formatCode="General" sourceLinked="1"/>
        <c:tickLblPos val="nextTo"/>
        <c:crossAx val="113734784"/>
        <c:crosses val="autoZero"/>
        <c:crossBetween val="midCat"/>
      </c:valAx>
    </c:plotArea>
    <c:plotVisOnly val="1"/>
    <c:dispBlanksAs val="gap"/>
  </c:chart>
  <c:externalData r:id="rId1"/>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3789</Characters>
  <Application>Microsoft Office Word</Application>
  <DocSecurity>0</DocSecurity>
  <Lines>31</Lines>
  <Paragraphs>8</Paragraphs>
  <ScaleCrop>false</ScaleCrop>
  <Company>Frost-RL</Company>
  <LinksUpToDate>false</LinksUpToDate>
  <CharactersWithSpaces>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2015-08-21T14:09:00Z</dcterms:created>
  <dcterms:modified xsi:type="dcterms:W3CDTF">2015-08-21T14:10:00Z</dcterms:modified>
</cp:coreProperties>
</file>