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29" w:rsidRDefault="00357229" w:rsidP="00357229">
      <w:pPr>
        <w:pStyle w:val="berschrift1"/>
        <w:numPr>
          <w:ilvl w:val="0"/>
          <w:numId w:val="0"/>
        </w:numPr>
      </w:pPr>
      <w:r w:rsidRPr="00A60D0F">
        <w:rPr>
          <w:noProof/>
          <w:color w:val="1F497D" w:themeColor="text2"/>
          <w:lang w:eastAsia="de-DE"/>
        </w:rPr>
        <w:pict>
          <v:shapetype id="_x0000_t202" coordsize="21600,21600" o:spt="202" path="m,l,21600r21600,l21600,xe">
            <v:stroke joinstyle="miter"/>
            <v:path gradientshapeok="t" o:connecttype="rect"/>
          </v:shapetype>
          <v:shape id="_x0000_s1027" type="#_x0000_t202" style="position:absolute;left:0;text-align:left;margin-left:.55pt;margin-top:55.55pt;width:462.45pt;height:62.75pt;z-index:251660288;mso-width-relative:margin;mso-height-relative:margin" fillcolor="white [3201]" strokecolor="#4bacc6 [3208]" strokeweight="1pt">
            <v:stroke dashstyle="dash"/>
            <v:shadow color="#868686"/>
            <v:textbox style="mso-next-textbox:#_x0000_s1027">
              <w:txbxContent>
                <w:p w:rsidR="00357229" w:rsidRPr="007F603E" w:rsidRDefault="00357229" w:rsidP="00357229">
                  <w:r>
                    <w:rPr>
                      <w:color w:val="auto"/>
                    </w:rPr>
                    <w:t xml:space="preserve">Als Vorwissen für den Versuch sollten die </w:t>
                  </w:r>
                  <w:proofErr w:type="spellStart"/>
                  <w:r>
                    <w:rPr>
                      <w:color w:val="auto"/>
                    </w:rPr>
                    <w:t>SuS</w:t>
                  </w:r>
                  <w:proofErr w:type="spellEnd"/>
                  <w:r>
                    <w:rPr>
                      <w:color w:val="auto"/>
                    </w:rPr>
                    <w:t xml:space="preserve"> die relative Oberfläche eines Gegenstandes oder Stoffes mit seinem Volumen in Verbindung bringen können. Dies kann mit Hilfe einer Reche</w:t>
                  </w:r>
                  <w:r>
                    <w:rPr>
                      <w:color w:val="auto"/>
                    </w:rPr>
                    <w:t>n</w:t>
                  </w:r>
                  <w:r>
                    <w:rPr>
                      <w:color w:val="auto"/>
                    </w:rPr>
                    <w:t xml:space="preserve">aufgabe, die im nachfolgenden Schüler-Arbeitsblatt vorgestellt wird, verdeutlicht werden. </w:t>
                  </w:r>
                </w:p>
              </w:txbxContent>
            </v:textbox>
            <w10:wrap type="square"/>
          </v:shape>
        </w:pict>
      </w:r>
      <w:bookmarkStart w:id="0" w:name="_Toc428173193"/>
      <w:r>
        <w:t>SV: Zerteilungsgrad</w:t>
      </w:r>
      <w:bookmarkEnd w:id="0"/>
    </w:p>
    <w:p w:rsidR="00357229" w:rsidRDefault="00357229" w:rsidP="00357229">
      <w:pPr>
        <w:tabs>
          <w:tab w:val="left" w:pos="1701"/>
          <w:tab w:val="left" w:pos="1985"/>
        </w:tabs>
        <w:ind w:left="1980" w:hanging="1980"/>
        <w:rPr>
          <w:color w:val="1F497D" w:themeColor="text2"/>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1"/>
        <w:gridCol w:w="1001"/>
        <w:gridCol w:w="1004"/>
        <w:gridCol w:w="1001"/>
        <w:gridCol w:w="1167"/>
        <w:gridCol w:w="985"/>
        <w:gridCol w:w="968"/>
        <w:gridCol w:w="1001"/>
        <w:gridCol w:w="1129"/>
        <w:gridCol w:w="65"/>
      </w:tblGrid>
      <w:tr w:rsidR="00357229" w:rsidRPr="009C5E28" w:rsidTr="005374A3">
        <w:tc>
          <w:tcPr>
            <w:tcW w:w="9322" w:type="dxa"/>
            <w:gridSpan w:val="10"/>
            <w:tcBorders>
              <w:top w:val="single" w:sz="8" w:space="0" w:color="4F81BD"/>
              <w:left w:val="single" w:sz="8" w:space="0" w:color="4F81BD"/>
              <w:right w:val="single" w:sz="8" w:space="0" w:color="4F81BD"/>
            </w:tcBorders>
            <w:shd w:val="clear" w:color="auto" w:fill="4F81BD"/>
            <w:vAlign w:val="center"/>
          </w:tcPr>
          <w:p w:rsidR="00357229" w:rsidRPr="004B5F8F" w:rsidRDefault="00357229" w:rsidP="005374A3">
            <w:pPr>
              <w:spacing w:after="0"/>
              <w:jc w:val="center"/>
              <w:rPr>
                <w:b/>
                <w:bCs/>
                <w:color w:val="FFFFFF" w:themeColor="background1"/>
              </w:rPr>
            </w:pPr>
            <w:r w:rsidRPr="004B5F8F">
              <w:rPr>
                <w:b/>
                <w:bCs/>
                <w:color w:val="FFFFFF" w:themeColor="background1"/>
              </w:rPr>
              <w:t>Gefahrenstoffe</w:t>
            </w:r>
          </w:p>
        </w:tc>
      </w:tr>
      <w:tr w:rsidR="00357229" w:rsidRPr="009C5E28" w:rsidTr="005374A3">
        <w:trPr>
          <w:gridAfter w:val="1"/>
          <w:wAfter w:w="65" w:type="dxa"/>
          <w:trHeight w:val="167"/>
        </w:trPr>
        <w:tc>
          <w:tcPr>
            <w:tcW w:w="3006" w:type="dxa"/>
            <w:gridSpan w:val="3"/>
            <w:tcBorders>
              <w:top w:val="single" w:sz="8" w:space="0" w:color="4F81BD"/>
              <w:left w:val="single" w:sz="8" w:space="0" w:color="4F81BD"/>
              <w:bottom w:val="single" w:sz="8" w:space="0" w:color="4F81BD"/>
            </w:tcBorders>
            <w:shd w:val="clear" w:color="auto" w:fill="auto"/>
            <w:vAlign w:val="center"/>
          </w:tcPr>
          <w:p w:rsidR="00357229" w:rsidRPr="009C5E28" w:rsidRDefault="00357229" w:rsidP="005374A3">
            <w:pPr>
              <w:spacing w:after="0" w:line="276" w:lineRule="auto"/>
              <w:jc w:val="center"/>
              <w:rPr>
                <w:bCs/>
                <w:sz w:val="20"/>
              </w:rPr>
            </w:pPr>
            <w:r>
              <w:rPr>
                <w:color w:val="auto"/>
                <w:sz w:val="20"/>
                <w:szCs w:val="20"/>
              </w:rPr>
              <w:t>Eisen</w:t>
            </w:r>
          </w:p>
        </w:tc>
        <w:tc>
          <w:tcPr>
            <w:tcW w:w="3153" w:type="dxa"/>
            <w:gridSpan w:val="3"/>
            <w:tcBorders>
              <w:top w:val="single" w:sz="8" w:space="0" w:color="4F81BD"/>
              <w:bottom w:val="single" w:sz="8" w:space="0" w:color="4F81BD"/>
            </w:tcBorders>
            <w:shd w:val="clear" w:color="auto" w:fill="auto"/>
            <w:vAlign w:val="center"/>
          </w:tcPr>
          <w:p w:rsidR="00357229" w:rsidRPr="009C5E28" w:rsidRDefault="00357229" w:rsidP="005374A3">
            <w:pPr>
              <w:pStyle w:val="Beschriftung"/>
              <w:spacing w:after="0"/>
              <w:jc w:val="center"/>
              <w:rPr>
                <w:sz w:val="20"/>
              </w:rPr>
            </w:pPr>
            <w:r w:rsidRPr="009C5E28">
              <w:rPr>
                <w:sz w:val="20"/>
              </w:rPr>
              <w:t xml:space="preserve">H: </w:t>
            </w:r>
            <w:r>
              <w:rPr>
                <w:sz w:val="20"/>
              </w:rPr>
              <w:t>228</w:t>
            </w:r>
          </w:p>
        </w:tc>
        <w:tc>
          <w:tcPr>
            <w:tcW w:w="3098" w:type="dxa"/>
            <w:gridSpan w:val="3"/>
            <w:tcBorders>
              <w:top w:val="single" w:sz="8" w:space="0" w:color="4F81BD"/>
              <w:bottom w:val="single" w:sz="8" w:space="0" w:color="4F81BD"/>
              <w:right w:val="single" w:sz="8" w:space="0" w:color="4F81BD"/>
            </w:tcBorders>
            <w:shd w:val="clear" w:color="auto" w:fill="auto"/>
            <w:vAlign w:val="center"/>
          </w:tcPr>
          <w:p w:rsidR="00357229" w:rsidRPr="009C5E28" w:rsidRDefault="00357229" w:rsidP="005374A3">
            <w:pPr>
              <w:pStyle w:val="Beschriftung"/>
              <w:spacing w:after="0"/>
              <w:jc w:val="center"/>
              <w:rPr>
                <w:sz w:val="20"/>
              </w:rPr>
            </w:pPr>
            <w:r w:rsidRPr="009C5E28">
              <w:rPr>
                <w:sz w:val="20"/>
              </w:rPr>
              <w:t xml:space="preserve">P: </w:t>
            </w:r>
            <w:r w:rsidRPr="00CD6D12">
              <w:rPr>
                <w:sz w:val="20"/>
              </w:rPr>
              <w:t>370+378</w:t>
            </w:r>
          </w:p>
        </w:tc>
      </w:tr>
      <w:tr w:rsidR="00357229" w:rsidRPr="009C5E28" w:rsidTr="005374A3">
        <w:trPr>
          <w:gridAfter w:val="1"/>
          <w:wAfter w:w="65" w:type="dxa"/>
          <w:trHeight w:val="167"/>
        </w:trPr>
        <w:tc>
          <w:tcPr>
            <w:tcW w:w="3006" w:type="dxa"/>
            <w:gridSpan w:val="3"/>
            <w:tcBorders>
              <w:top w:val="single" w:sz="8" w:space="0" w:color="4F81BD"/>
              <w:left w:val="single" w:sz="8" w:space="0" w:color="4F81BD"/>
              <w:bottom w:val="single" w:sz="8" w:space="0" w:color="4F81BD"/>
            </w:tcBorders>
            <w:shd w:val="clear" w:color="auto" w:fill="auto"/>
            <w:vAlign w:val="center"/>
          </w:tcPr>
          <w:p w:rsidR="00357229" w:rsidRPr="001A58BB" w:rsidRDefault="00357229" w:rsidP="005374A3">
            <w:pPr>
              <w:spacing w:after="0" w:line="276" w:lineRule="auto"/>
              <w:jc w:val="center"/>
            </w:pPr>
            <w:r w:rsidRPr="001A58BB">
              <w:rPr>
                <w:color w:val="auto"/>
              </w:rPr>
              <w:t xml:space="preserve">Salzsäure (2 </w:t>
            </w:r>
            <w:proofErr w:type="spellStart"/>
            <w:r w:rsidRPr="001A58BB">
              <w:rPr>
                <w:color w:val="auto"/>
              </w:rPr>
              <w:t>mol</w:t>
            </w:r>
            <w:proofErr w:type="spellEnd"/>
            <w:r w:rsidRPr="001A58BB">
              <w:rPr>
                <w:color w:val="auto"/>
              </w:rPr>
              <w:t>/L)</w:t>
            </w:r>
          </w:p>
        </w:tc>
        <w:tc>
          <w:tcPr>
            <w:tcW w:w="3153" w:type="dxa"/>
            <w:gridSpan w:val="3"/>
            <w:tcBorders>
              <w:top w:val="single" w:sz="8" w:space="0" w:color="4F81BD"/>
              <w:bottom w:val="single" w:sz="8" w:space="0" w:color="4F81BD"/>
            </w:tcBorders>
            <w:shd w:val="clear" w:color="auto" w:fill="auto"/>
            <w:vAlign w:val="center"/>
          </w:tcPr>
          <w:p w:rsidR="00357229" w:rsidRPr="001A58BB" w:rsidRDefault="00357229" w:rsidP="005374A3">
            <w:pPr>
              <w:spacing w:after="0"/>
              <w:jc w:val="center"/>
            </w:pPr>
            <w:r w:rsidRPr="001A58BB">
              <w:t>H: 314+335+290</w:t>
            </w:r>
          </w:p>
        </w:tc>
        <w:tc>
          <w:tcPr>
            <w:tcW w:w="3098" w:type="dxa"/>
            <w:gridSpan w:val="3"/>
            <w:tcBorders>
              <w:top w:val="single" w:sz="8" w:space="0" w:color="4F81BD"/>
              <w:bottom w:val="single" w:sz="8" w:space="0" w:color="4F81BD"/>
              <w:right w:val="single" w:sz="8" w:space="0" w:color="4F81BD"/>
            </w:tcBorders>
            <w:shd w:val="clear" w:color="auto" w:fill="auto"/>
            <w:vAlign w:val="center"/>
          </w:tcPr>
          <w:p w:rsidR="00357229" w:rsidRPr="001A58BB" w:rsidRDefault="00357229" w:rsidP="005374A3">
            <w:pPr>
              <w:spacing w:after="0"/>
              <w:jc w:val="center"/>
            </w:pPr>
            <w:r w:rsidRPr="001A58BB">
              <w:t>P:280+301+330+331+305</w:t>
            </w:r>
          </w:p>
          <w:p w:rsidR="00357229" w:rsidRPr="001A58BB" w:rsidRDefault="00357229" w:rsidP="005374A3">
            <w:pPr>
              <w:spacing w:after="0"/>
              <w:jc w:val="center"/>
            </w:pPr>
            <w:r w:rsidRPr="001A58BB">
              <w:t>+351+338</w:t>
            </w:r>
          </w:p>
        </w:tc>
      </w:tr>
      <w:tr w:rsidR="00357229" w:rsidRPr="009C5E28" w:rsidTr="005374A3">
        <w:trPr>
          <w:gridAfter w:val="1"/>
          <w:wAfter w:w="65" w:type="dxa"/>
          <w:trHeight w:val="380"/>
        </w:trPr>
        <w:tc>
          <w:tcPr>
            <w:tcW w:w="1001" w:type="dxa"/>
            <w:tcBorders>
              <w:top w:val="single" w:sz="8" w:space="0" w:color="4F81BD"/>
              <w:left w:val="single" w:sz="8" w:space="0" w:color="4F81BD"/>
              <w:bottom w:val="single" w:sz="8" w:space="0" w:color="4F81BD"/>
            </w:tcBorders>
            <w:shd w:val="clear" w:color="auto" w:fill="auto"/>
            <w:vAlign w:val="center"/>
          </w:tcPr>
          <w:p w:rsidR="00357229" w:rsidRPr="009C5E28" w:rsidRDefault="00357229" w:rsidP="005374A3">
            <w:pPr>
              <w:spacing w:after="0"/>
              <w:jc w:val="center"/>
              <w:rPr>
                <w:b/>
                <w:bCs/>
              </w:rPr>
            </w:pPr>
            <w:r>
              <w:rPr>
                <w:b/>
                <w:noProof/>
                <w:lang w:eastAsia="de-DE"/>
              </w:rPr>
              <w:drawing>
                <wp:inline distT="0" distB="0" distL="0" distR="0">
                  <wp:extent cx="504190" cy="504190"/>
                  <wp:effectExtent l="19050" t="0" r="0" b="0"/>
                  <wp:docPr id="4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1" w:type="dxa"/>
            <w:tcBorders>
              <w:top w:val="single" w:sz="8" w:space="0" w:color="4F81BD"/>
              <w:bottom w:val="single" w:sz="8" w:space="0" w:color="4F81BD"/>
            </w:tcBorders>
            <w:shd w:val="clear" w:color="auto" w:fill="auto"/>
            <w:vAlign w:val="center"/>
          </w:tcPr>
          <w:p w:rsidR="00357229" w:rsidRPr="009C5E28" w:rsidRDefault="00357229" w:rsidP="005374A3">
            <w:pPr>
              <w:spacing w:after="0"/>
              <w:jc w:val="center"/>
              <w:rPr>
                <w:b/>
                <w:bCs/>
              </w:rPr>
            </w:pPr>
            <w:r>
              <w:rPr>
                <w:b/>
                <w:noProof/>
                <w:lang w:eastAsia="de-DE"/>
              </w:rPr>
              <w:drawing>
                <wp:inline distT="0" distB="0" distL="0" distR="0">
                  <wp:extent cx="504190" cy="504190"/>
                  <wp:effectExtent l="19050" t="0" r="0" b="0"/>
                  <wp:docPr id="48"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print"/>
                          <a:stretch>
                            <a:fillRect/>
                          </a:stretch>
                        </pic:blipFill>
                        <pic:spPr bwMode="auto">
                          <a:xfrm>
                            <a:off x="0" y="0"/>
                            <a:ext cx="504190" cy="504190"/>
                          </a:xfrm>
                          <a:prstGeom prst="rect">
                            <a:avLst/>
                          </a:prstGeom>
                          <a:noFill/>
                          <a:ln>
                            <a:noFill/>
                          </a:ln>
                        </pic:spPr>
                      </pic:pic>
                    </a:graphicData>
                  </a:graphic>
                </wp:inline>
              </w:drawing>
            </w:r>
          </w:p>
        </w:tc>
        <w:tc>
          <w:tcPr>
            <w:tcW w:w="1004" w:type="dxa"/>
            <w:tcBorders>
              <w:top w:val="single" w:sz="8" w:space="0" w:color="4F81BD"/>
              <w:bottom w:val="single" w:sz="8" w:space="0" w:color="4F81BD"/>
            </w:tcBorders>
            <w:shd w:val="clear" w:color="auto" w:fill="auto"/>
            <w:vAlign w:val="center"/>
          </w:tcPr>
          <w:p w:rsidR="00357229" w:rsidRPr="009C5E28" w:rsidRDefault="00357229" w:rsidP="005374A3">
            <w:pPr>
              <w:spacing w:after="0"/>
              <w:jc w:val="center"/>
            </w:pPr>
            <w:r w:rsidRPr="006669A7">
              <w:rPr>
                <w:noProof/>
                <w:lang w:eastAsia="de-DE"/>
              </w:rPr>
              <w:drawing>
                <wp:inline distT="0" distB="0" distL="0" distR="0">
                  <wp:extent cx="504190" cy="504190"/>
                  <wp:effectExtent l="19050" t="0" r="0" b="0"/>
                  <wp:docPr id="4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1" w:type="dxa"/>
            <w:tcBorders>
              <w:top w:val="single" w:sz="8" w:space="0" w:color="4F81BD"/>
              <w:bottom w:val="single" w:sz="8" w:space="0" w:color="4F81BD"/>
            </w:tcBorders>
            <w:shd w:val="clear" w:color="auto" w:fill="auto"/>
            <w:vAlign w:val="center"/>
          </w:tcPr>
          <w:p w:rsidR="00357229" w:rsidRPr="009C5E28" w:rsidRDefault="00357229" w:rsidP="005374A3">
            <w:pPr>
              <w:spacing w:after="0"/>
              <w:jc w:val="center"/>
            </w:pPr>
            <w:r>
              <w:rPr>
                <w:noProof/>
                <w:lang w:eastAsia="de-DE"/>
              </w:rPr>
              <w:drawing>
                <wp:inline distT="0" distB="0" distL="0" distR="0">
                  <wp:extent cx="504190" cy="504190"/>
                  <wp:effectExtent l="0" t="0" r="0" b="0"/>
                  <wp:docPr id="5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67" w:type="dxa"/>
            <w:tcBorders>
              <w:top w:val="single" w:sz="8" w:space="0" w:color="4F81BD"/>
              <w:bottom w:val="single" w:sz="8" w:space="0" w:color="4F81BD"/>
            </w:tcBorders>
            <w:shd w:val="clear" w:color="auto" w:fill="auto"/>
            <w:vAlign w:val="center"/>
          </w:tcPr>
          <w:p w:rsidR="00357229" w:rsidRPr="009C5E28" w:rsidRDefault="00357229" w:rsidP="005374A3">
            <w:pPr>
              <w:spacing w:after="0"/>
              <w:jc w:val="center"/>
            </w:pPr>
            <w:r>
              <w:rPr>
                <w:noProof/>
                <w:lang w:eastAsia="de-DE"/>
              </w:rPr>
              <w:drawing>
                <wp:inline distT="0" distB="0" distL="0" distR="0">
                  <wp:extent cx="504190" cy="504190"/>
                  <wp:effectExtent l="0" t="0" r="0" b="0"/>
                  <wp:docPr id="5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85" w:type="dxa"/>
            <w:tcBorders>
              <w:top w:val="single" w:sz="8" w:space="0" w:color="4F81BD"/>
              <w:bottom w:val="single" w:sz="8" w:space="0" w:color="4F81BD"/>
            </w:tcBorders>
            <w:shd w:val="clear" w:color="auto" w:fill="auto"/>
            <w:vAlign w:val="center"/>
          </w:tcPr>
          <w:p w:rsidR="00357229" w:rsidRPr="009C5E28" w:rsidRDefault="00357229" w:rsidP="005374A3">
            <w:pPr>
              <w:spacing w:after="0"/>
              <w:jc w:val="center"/>
            </w:pPr>
            <w:r>
              <w:rPr>
                <w:noProof/>
                <w:lang w:eastAsia="de-DE"/>
              </w:rPr>
              <w:drawing>
                <wp:inline distT="0" distB="0" distL="0" distR="0">
                  <wp:extent cx="504190" cy="504190"/>
                  <wp:effectExtent l="0" t="0" r="0" b="0"/>
                  <wp:docPr id="5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68" w:type="dxa"/>
            <w:tcBorders>
              <w:top w:val="single" w:sz="8" w:space="0" w:color="4F81BD"/>
              <w:bottom w:val="single" w:sz="8" w:space="0" w:color="4F81BD"/>
            </w:tcBorders>
            <w:shd w:val="clear" w:color="auto" w:fill="auto"/>
            <w:vAlign w:val="center"/>
          </w:tcPr>
          <w:p w:rsidR="00357229" w:rsidRPr="009C5E28" w:rsidRDefault="00357229" w:rsidP="005374A3">
            <w:pPr>
              <w:spacing w:after="0"/>
              <w:jc w:val="center"/>
            </w:pPr>
            <w:r>
              <w:rPr>
                <w:noProof/>
                <w:lang w:eastAsia="de-DE"/>
              </w:rPr>
              <w:drawing>
                <wp:inline distT="0" distB="0" distL="0" distR="0">
                  <wp:extent cx="504190" cy="504190"/>
                  <wp:effectExtent l="0" t="0" r="0" b="0"/>
                  <wp:docPr id="5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1" w:type="dxa"/>
            <w:tcBorders>
              <w:top w:val="single" w:sz="8" w:space="0" w:color="4F81BD"/>
              <w:bottom w:val="single" w:sz="8" w:space="0" w:color="4F81BD"/>
            </w:tcBorders>
            <w:shd w:val="clear" w:color="auto" w:fill="auto"/>
            <w:vAlign w:val="center"/>
          </w:tcPr>
          <w:p w:rsidR="00357229" w:rsidRPr="009C5E28" w:rsidRDefault="00357229" w:rsidP="005374A3">
            <w:pPr>
              <w:spacing w:after="0"/>
              <w:jc w:val="center"/>
            </w:pPr>
            <w:r>
              <w:rPr>
                <w:noProof/>
                <w:lang w:eastAsia="de-DE"/>
              </w:rPr>
              <w:drawing>
                <wp:inline distT="0" distB="0" distL="0" distR="0">
                  <wp:extent cx="511175" cy="511175"/>
                  <wp:effectExtent l="19050" t="0" r="3175" b="0"/>
                  <wp:docPr id="5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11175" cy="511175"/>
                          </a:xfrm>
                          <a:prstGeom prst="rect">
                            <a:avLst/>
                          </a:prstGeom>
                          <a:noFill/>
                          <a:ln>
                            <a:noFill/>
                          </a:ln>
                        </pic:spPr>
                      </pic:pic>
                    </a:graphicData>
                  </a:graphic>
                </wp:inline>
              </w:drawing>
            </w:r>
          </w:p>
        </w:tc>
        <w:tc>
          <w:tcPr>
            <w:tcW w:w="1129" w:type="dxa"/>
            <w:tcBorders>
              <w:top w:val="single" w:sz="8" w:space="0" w:color="4F81BD"/>
              <w:bottom w:val="single" w:sz="8" w:space="0" w:color="4F81BD"/>
              <w:right w:val="single" w:sz="8" w:space="0" w:color="4F81BD"/>
            </w:tcBorders>
            <w:shd w:val="clear" w:color="auto" w:fill="auto"/>
            <w:vAlign w:val="center"/>
          </w:tcPr>
          <w:p w:rsidR="00357229" w:rsidRPr="009C5E28" w:rsidRDefault="00357229" w:rsidP="005374A3">
            <w:pPr>
              <w:spacing w:after="0"/>
              <w:jc w:val="center"/>
            </w:pPr>
            <w:r>
              <w:rPr>
                <w:noProof/>
                <w:lang w:eastAsia="de-DE"/>
              </w:rPr>
              <w:drawing>
                <wp:inline distT="0" distB="0" distL="0" distR="0">
                  <wp:extent cx="543464" cy="543464"/>
                  <wp:effectExtent l="19050" t="0" r="8986" b="0"/>
                  <wp:docPr id="55" name="Grafik 31"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3" cstate="print"/>
                          <a:stretch>
                            <a:fillRect/>
                          </a:stretch>
                        </pic:blipFill>
                        <pic:spPr>
                          <a:xfrm>
                            <a:off x="0" y="0"/>
                            <a:ext cx="542491" cy="542491"/>
                          </a:xfrm>
                          <a:prstGeom prst="rect">
                            <a:avLst/>
                          </a:prstGeom>
                        </pic:spPr>
                      </pic:pic>
                    </a:graphicData>
                  </a:graphic>
                </wp:inline>
              </w:drawing>
            </w:r>
          </w:p>
        </w:tc>
      </w:tr>
    </w:tbl>
    <w:p w:rsidR="00357229" w:rsidRDefault="00357229" w:rsidP="00357229">
      <w:pPr>
        <w:tabs>
          <w:tab w:val="left" w:pos="1701"/>
          <w:tab w:val="left" w:pos="1985"/>
        </w:tabs>
      </w:pPr>
    </w:p>
    <w:p w:rsidR="00357229" w:rsidRDefault="00357229" w:rsidP="00357229">
      <w:pPr>
        <w:tabs>
          <w:tab w:val="left" w:pos="1701"/>
          <w:tab w:val="left" w:pos="1985"/>
        </w:tabs>
        <w:ind w:left="1980" w:hanging="1980"/>
      </w:pPr>
      <w:r>
        <w:t xml:space="preserve">Materialien: </w:t>
      </w:r>
      <w:r>
        <w:tab/>
      </w:r>
      <w:r>
        <w:tab/>
      </w:r>
      <w:r>
        <w:rPr>
          <w:color w:val="auto"/>
        </w:rPr>
        <w:t>4 Reagenzgläser, Reagenzglasständer, Spatel</w:t>
      </w:r>
    </w:p>
    <w:p w:rsidR="00357229" w:rsidRPr="00ED07C2" w:rsidRDefault="00357229" w:rsidP="00357229">
      <w:pPr>
        <w:tabs>
          <w:tab w:val="left" w:pos="1701"/>
          <w:tab w:val="left" w:pos="1985"/>
        </w:tabs>
        <w:ind w:left="1980" w:hanging="1980"/>
      </w:pPr>
      <w:r>
        <w:t>Chemikalien:</w:t>
      </w:r>
      <w:r>
        <w:tab/>
      </w:r>
      <w:r>
        <w:tab/>
        <w:t xml:space="preserve">Eisenpulver, Eisenwolle, Eisenspäne, Eisennagel, Salzsäure (2 </w:t>
      </w:r>
      <w:proofErr w:type="spellStart"/>
      <w:r>
        <w:t>mol</w:t>
      </w:r>
      <w:proofErr w:type="spellEnd"/>
      <w:r>
        <w:t>/L)</w:t>
      </w:r>
    </w:p>
    <w:p w:rsidR="00357229" w:rsidRDefault="00357229" w:rsidP="00357229">
      <w:pPr>
        <w:tabs>
          <w:tab w:val="left" w:pos="1701"/>
          <w:tab w:val="left" w:pos="1985"/>
        </w:tabs>
        <w:ind w:left="1980" w:hanging="1980"/>
      </w:pPr>
      <w:r>
        <w:t xml:space="preserve">Durchführung: </w:t>
      </w:r>
      <w:r>
        <w:tab/>
      </w:r>
      <w:r>
        <w:tab/>
      </w:r>
      <w:r>
        <w:rPr>
          <w:color w:val="auto"/>
        </w:rPr>
        <w:t>In die ersten drei Reagenzgläser werden mit Hilfe eines Spatels Eisenpu</w:t>
      </w:r>
      <w:r>
        <w:rPr>
          <w:color w:val="auto"/>
        </w:rPr>
        <w:t>l</w:t>
      </w:r>
      <w:r>
        <w:rPr>
          <w:color w:val="auto"/>
        </w:rPr>
        <w:t>ver, Eisenwollen und Eisenspäne gegeben. Der Eisennagel wird vorsichtig in das vierte Reagenzglas geschoben. Als nächstes werden alle Reagenzgl</w:t>
      </w:r>
      <w:r>
        <w:rPr>
          <w:color w:val="auto"/>
        </w:rPr>
        <w:t>ä</w:t>
      </w:r>
      <w:r>
        <w:rPr>
          <w:color w:val="auto"/>
        </w:rPr>
        <w:t xml:space="preserve">ser zwei Daumenbreit mit Salzsäure (2 </w:t>
      </w:r>
      <w:proofErr w:type="spellStart"/>
      <w:r>
        <w:rPr>
          <w:color w:val="auto"/>
        </w:rPr>
        <w:t>mol</w:t>
      </w:r>
      <w:proofErr w:type="spellEnd"/>
      <w:r>
        <w:rPr>
          <w:color w:val="auto"/>
        </w:rPr>
        <w:t>/ L) versetzt.</w:t>
      </w:r>
    </w:p>
    <w:p w:rsidR="00357229" w:rsidRDefault="00357229" w:rsidP="00357229">
      <w:pPr>
        <w:ind w:left="2124" w:hanging="2124"/>
        <w:rPr>
          <w:color w:val="auto"/>
        </w:rPr>
      </w:pPr>
      <w:r>
        <w:t>Beobachtung:</w:t>
      </w:r>
      <w:r>
        <w:tab/>
        <w:t xml:space="preserve">Am </w:t>
      </w:r>
      <w:r>
        <w:rPr>
          <w:color w:val="auto"/>
        </w:rPr>
        <w:t>Eisenpulver in der Salzsäure ist eine sehr starke Gasentwicklung, an den Eisenspänen eine leichte Gasentwicklung und an der Eisenwolle eine Gasentwicklung zu beobachten. Am Eisennagel sind nur einzelne aufste</w:t>
      </w:r>
      <w:r>
        <w:rPr>
          <w:color w:val="auto"/>
        </w:rPr>
        <w:t>i</w:t>
      </w:r>
      <w:r>
        <w:rPr>
          <w:color w:val="auto"/>
        </w:rPr>
        <w:t>gende Gasbläschen zu erkennen.</w:t>
      </w:r>
    </w:p>
    <w:p w:rsidR="00357229" w:rsidRPr="004B5F8F" w:rsidRDefault="00357229" w:rsidP="00357229">
      <w:pPr>
        <w:ind w:left="2124" w:hanging="2124"/>
      </w:pPr>
    </w:p>
    <w:p w:rsidR="00357229" w:rsidRDefault="00357229" w:rsidP="00357229">
      <w:pPr>
        <w:keepNext/>
        <w:tabs>
          <w:tab w:val="left" w:pos="1701"/>
          <w:tab w:val="left" w:pos="1985"/>
        </w:tabs>
        <w:ind w:left="1980" w:hanging="1980"/>
        <w:jc w:val="center"/>
      </w:pPr>
      <w:r w:rsidRPr="00353145">
        <w:rPr>
          <w:noProof/>
          <w:lang w:eastAsia="de-DE"/>
        </w:rPr>
        <w:lastRenderedPageBreak/>
        <w:drawing>
          <wp:inline distT="0" distB="0" distL="0" distR="0">
            <wp:extent cx="3874339" cy="1876605"/>
            <wp:effectExtent l="171450" t="133350" r="354761" b="314145"/>
            <wp:docPr id="45" name="Bild 1" descr="IMAG0326.jpg"/>
            <wp:cNvGraphicFramePr/>
            <a:graphic xmlns:a="http://schemas.openxmlformats.org/drawingml/2006/main">
              <a:graphicData uri="http://schemas.openxmlformats.org/drawingml/2006/picture">
                <pic:pic xmlns:pic="http://schemas.openxmlformats.org/drawingml/2006/picture">
                  <pic:nvPicPr>
                    <pic:cNvPr id="4" name="Grafik 3" descr="IMAG0326.jpg"/>
                    <pic:cNvPicPr>
                      <a:picLocks noChangeAspect="1"/>
                    </pic:cNvPicPr>
                  </pic:nvPicPr>
                  <pic:blipFill>
                    <a:blip r:embed="rId14" cstate="print"/>
                    <a:srcRect/>
                    <a:stretch>
                      <a:fillRect/>
                    </a:stretch>
                  </pic:blipFill>
                  <pic:spPr>
                    <a:xfrm>
                      <a:off x="0" y="0"/>
                      <a:ext cx="3876371" cy="1877589"/>
                    </a:xfrm>
                    <a:prstGeom prst="rect">
                      <a:avLst/>
                    </a:prstGeom>
                    <a:ln>
                      <a:noFill/>
                    </a:ln>
                    <a:effectLst>
                      <a:outerShdw blurRad="292100" dist="139700" dir="2700000" algn="tl" rotWithShape="0">
                        <a:srgbClr val="333333">
                          <a:alpha val="65000"/>
                        </a:srgbClr>
                      </a:outerShdw>
                    </a:effectLst>
                  </pic:spPr>
                </pic:pic>
              </a:graphicData>
            </a:graphic>
          </wp:inline>
        </w:drawing>
      </w:r>
    </w:p>
    <w:p w:rsidR="00357229" w:rsidRDefault="00357229" w:rsidP="00357229">
      <w:pPr>
        <w:pStyle w:val="Beschriftung"/>
        <w:jc w:val="center"/>
      </w:pPr>
      <w:r>
        <w:t xml:space="preserve">Abbildung </w:t>
      </w:r>
      <w:fldSimple w:instr=" SEQ Abbildung \* ARABIC ">
        <w:r>
          <w:rPr>
            <w:noProof/>
          </w:rPr>
          <w:t>2</w:t>
        </w:r>
      </w:fldSimple>
      <w:r>
        <w:t>: Eisenpulver, Eisenspäne, Eisenwolle und Eisennagel (von links nach rechts) in Salzsäure</w:t>
      </w:r>
      <w:r>
        <w:rPr>
          <w:noProof/>
        </w:rPr>
        <w:t xml:space="preserve"> .</w:t>
      </w:r>
    </w:p>
    <w:p w:rsidR="00357229" w:rsidRPr="00097193" w:rsidRDefault="00357229" w:rsidP="00357229"/>
    <w:p w:rsidR="00357229" w:rsidRDefault="00357229" w:rsidP="00357229">
      <w:pPr>
        <w:ind w:left="2124" w:hanging="2124"/>
        <w:rPr>
          <w:rFonts w:asciiTheme="majorHAnsi" w:hAnsiTheme="majorHAnsi"/>
          <w:color w:val="auto"/>
        </w:rPr>
      </w:pPr>
      <w:r>
        <w:t>Deutung:</w:t>
      </w:r>
      <w:r>
        <w:tab/>
      </w:r>
      <w:r>
        <w:rPr>
          <w:rFonts w:asciiTheme="majorHAnsi" w:hAnsiTheme="majorHAnsi"/>
          <w:color w:val="auto"/>
        </w:rPr>
        <w:t>Der Zerteilungsgrad gibt das Verhältnis der Oberfläche zum Volumen eines Stoffes an. Das bedeutet, je kleiner der Stoff zerteilt ist, desto größer ist seine relative Oberfläche, also die Angriffsfläche für eine Reaktion. D</w:t>
      </w:r>
      <w:r>
        <w:rPr>
          <w:rFonts w:asciiTheme="majorHAnsi" w:hAnsiTheme="majorHAnsi"/>
          <w:color w:val="auto"/>
        </w:rPr>
        <w:t>a</w:t>
      </w:r>
      <w:r>
        <w:rPr>
          <w:rFonts w:asciiTheme="majorHAnsi" w:hAnsiTheme="majorHAnsi"/>
          <w:color w:val="auto"/>
        </w:rPr>
        <w:t>her läuft die Reaktion mit Eisenpulver und Salzsäure heftiger ab als die Reaktion mit dem Eisennagel und der Salzsäure, da dort die relative Obe</w:t>
      </w:r>
      <w:r>
        <w:rPr>
          <w:rFonts w:asciiTheme="majorHAnsi" w:hAnsiTheme="majorHAnsi"/>
          <w:color w:val="auto"/>
        </w:rPr>
        <w:t>r</w:t>
      </w:r>
      <w:r>
        <w:rPr>
          <w:rFonts w:asciiTheme="majorHAnsi" w:hAnsiTheme="majorHAnsi"/>
          <w:color w:val="auto"/>
        </w:rPr>
        <w:t>fläche im Bezug zum Volumen kleiner ist.</w:t>
      </w:r>
    </w:p>
    <w:p w:rsidR="00357229" w:rsidRPr="00097193" w:rsidRDefault="00357229" w:rsidP="00357229">
      <w:pPr>
        <w:ind w:left="2124" w:hanging="2124"/>
        <w:rPr>
          <w:color w:val="auto"/>
        </w:rPr>
      </w:pPr>
      <w:r>
        <w:t>Entsorgung:</w:t>
      </w:r>
      <w:r>
        <w:tab/>
      </w:r>
      <w:r>
        <w:rPr>
          <w:color w:val="auto"/>
        </w:rPr>
        <w:t>Die Lösung wird im Schwermetall-Behälter entsorgt, das Eisen im Fes</w:t>
      </w:r>
      <w:r>
        <w:rPr>
          <w:color w:val="auto"/>
        </w:rPr>
        <w:t>t</w:t>
      </w:r>
      <w:r>
        <w:rPr>
          <w:color w:val="auto"/>
        </w:rPr>
        <w:t>stoffbehälter.</w:t>
      </w:r>
    </w:p>
    <w:p w:rsidR="00357229" w:rsidRDefault="00357229" w:rsidP="00357229">
      <w:pPr>
        <w:ind w:left="2124" w:hanging="2124"/>
        <w:jc w:val="left"/>
        <w:rPr>
          <w:rFonts w:asciiTheme="majorHAnsi" w:hAnsiTheme="majorHAnsi"/>
        </w:rPr>
      </w:pPr>
      <w:r>
        <w:t>Literatur:</w:t>
      </w:r>
      <w:r>
        <w:tab/>
      </w:r>
      <w:r w:rsidRPr="00097193">
        <w:rPr>
          <w:rFonts w:asciiTheme="majorHAnsi" w:hAnsiTheme="majorHAnsi"/>
        </w:rPr>
        <w:t xml:space="preserve">ähnlich zu: </w:t>
      </w:r>
      <w:r w:rsidRPr="00097193">
        <w:rPr>
          <w:rStyle w:val="xrs1"/>
          <w:rFonts w:asciiTheme="majorHAnsi" w:hAnsiTheme="majorHAnsi"/>
        </w:rPr>
        <w:t>F. Markert</w:t>
      </w:r>
      <w:r w:rsidRPr="00097193">
        <w:rPr>
          <w:rFonts w:asciiTheme="majorHAnsi" w:hAnsiTheme="majorHAnsi"/>
        </w:rPr>
        <w:t>, http://www.minicles.de/8cr-reaktionsgeschwindigkeit%20zerteilungsgrad.htm,</w:t>
      </w:r>
      <w:r>
        <w:rPr>
          <w:rFonts w:asciiTheme="majorHAnsi" w:hAnsiTheme="majorHAnsi"/>
        </w:rPr>
        <w:t xml:space="preserve"> 201</w:t>
      </w:r>
      <w:r w:rsidRPr="00097193">
        <w:rPr>
          <w:rFonts w:asciiTheme="majorHAnsi" w:hAnsiTheme="majorHAnsi"/>
        </w:rPr>
        <w:t xml:space="preserve">5 (letzter Aufruf am 05.08.2015 um </w:t>
      </w:r>
      <w:r>
        <w:rPr>
          <w:rFonts w:asciiTheme="majorHAnsi" w:hAnsiTheme="majorHAnsi"/>
        </w:rPr>
        <w:t>20</w:t>
      </w:r>
      <w:r w:rsidRPr="00097193">
        <w:rPr>
          <w:rFonts w:asciiTheme="majorHAnsi" w:hAnsiTheme="majorHAnsi"/>
        </w:rPr>
        <w:t>.</w:t>
      </w:r>
      <w:r>
        <w:rPr>
          <w:rFonts w:asciiTheme="majorHAnsi" w:hAnsiTheme="majorHAnsi"/>
        </w:rPr>
        <w:t>58</w:t>
      </w:r>
      <w:r w:rsidRPr="00097193">
        <w:rPr>
          <w:rFonts w:asciiTheme="majorHAnsi" w:hAnsiTheme="majorHAnsi"/>
        </w:rPr>
        <w:t xml:space="preserve"> Uhr).</w:t>
      </w:r>
    </w:p>
    <w:p w:rsidR="00357229" w:rsidRPr="009D3BD3" w:rsidRDefault="00357229" w:rsidP="00357229">
      <w:pPr>
        <w:ind w:left="2124" w:hanging="2124"/>
        <w:jc w:val="left"/>
        <w:rPr>
          <w:rFonts w:asciiTheme="majorHAnsi" w:hAnsiTheme="majorHAnsi"/>
        </w:rPr>
      </w:pPr>
    </w:p>
    <w:p w:rsidR="00357229" w:rsidRPr="006E32AF" w:rsidRDefault="00357229" w:rsidP="00357229">
      <w:pPr>
        <w:tabs>
          <w:tab w:val="left" w:pos="1701"/>
          <w:tab w:val="left" w:pos="1985"/>
        </w:tabs>
        <w:ind w:left="1980" w:hanging="1980"/>
        <w:rPr>
          <w:rFonts w:eastAsiaTheme="minorEastAsia"/>
        </w:rPr>
      </w:pPr>
      <w:r w:rsidRPr="00A60D0F">
        <w:pict>
          <v:shape id="_x0000_s1026" type="#_x0000_t202" style="width:462.45pt;height:45.1pt;mso-position-horizontal-relative:char;mso-position-vertical-relative:line;mso-width-relative:margin;mso-height-relative:margin" fillcolor="white [3201]" strokecolor="#c0504d [3205]" strokeweight="1pt">
            <v:stroke dashstyle="dash"/>
            <v:shadow color="#868686"/>
            <v:textbox style="mso-next-textbox:#_x0000_s1026">
              <w:txbxContent>
                <w:p w:rsidR="00357229" w:rsidRDefault="00357229" w:rsidP="00357229">
                  <w:pPr>
                    <w:rPr>
                      <w:color w:val="auto"/>
                    </w:rPr>
                  </w:pPr>
                  <w:r>
                    <w:rPr>
                      <w:color w:val="auto"/>
                    </w:rPr>
                    <w:t>Der Versuch kann auch mit anderen Metallen wie Zink durchgeführt werden. Als Alternativve</w:t>
                  </w:r>
                  <w:r>
                    <w:rPr>
                      <w:color w:val="auto"/>
                    </w:rPr>
                    <w:t>r</w:t>
                  </w:r>
                  <w:r>
                    <w:rPr>
                      <w:color w:val="auto"/>
                    </w:rPr>
                    <w:t xml:space="preserve">such kann das Metall in seinen Zerteilungsgraden mit dem Gasbrenner erhitzt werden. </w:t>
                  </w:r>
                </w:p>
                <w:p w:rsidR="00357229" w:rsidRPr="007F603E" w:rsidRDefault="00357229" w:rsidP="00357229">
                  <w:pPr>
                    <w:rPr>
                      <w:color w:val="auto"/>
                    </w:rPr>
                  </w:pPr>
                </w:p>
                <w:p w:rsidR="00357229" w:rsidRDefault="00357229" w:rsidP="00357229">
                  <w:pPr>
                    <w:rPr>
                      <w:b/>
                      <w:color w:val="auto"/>
                    </w:rPr>
                  </w:pPr>
                </w:p>
                <w:p w:rsidR="00357229" w:rsidRPr="00F31EBF" w:rsidRDefault="00357229" w:rsidP="00357229">
                  <w:pPr>
                    <w:rPr>
                      <w:color w:val="auto"/>
                    </w:rPr>
                  </w:pPr>
                </w:p>
              </w:txbxContent>
            </v:textbox>
            <w10:wrap type="none"/>
            <w10:anchorlock/>
          </v:shape>
        </w:pict>
      </w:r>
    </w:p>
    <w:p w:rsidR="00357229" w:rsidRDefault="00357229" w:rsidP="00357229">
      <w:pPr>
        <w:tabs>
          <w:tab w:val="left" w:pos="1701"/>
          <w:tab w:val="left" w:pos="1985"/>
        </w:tabs>
        <w:ind w:left="1980" w:hanging="1980"/>
        <w:rPr>
          <w:color w:val="1F497D" w:themeColor="text2"/>
        </w:rPr>
      </w:pPr>
    </w:p>
    <w:p w:rsidR="00BC7714" w:rsidRDefault="00BC7714"/>
    <w:sectPr w:rsidR="00BC7714" w:rsidSect="00BC771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57229"/>
    <w:rsid w:val="00001137"/>
    <w:rsid w:val="00004A2F"/>
    <w:rsid w:val="00006EF7"/>
    <w:rsid w:val="00010B26"/>
    <w:rsid w:val="000134C2"/>
    <w:rsid w:val="000142C9"/>
    <w:rsid w:val="0001463C"/>
    <w:rsid w:val="000168EF"/>
    <w:rsid w:val="000177FB"/>
    <w:rsid w:val="00020A33"/>
    <w:rsid w:val="0002362A"/>
    <w:rsid w:val="00034789"/>
    <w:rsid w:val="00036E87"/>
    <w:rsid w:val="0003724F"/>
    <w:rsid w:val="00037778"/>
    <w:rsid w:val="00037FDF"/>
    <w:rsid w:val="000404DB"/>
    <w:rsid w:val="0004107F"/>
    <w:rsid w:val="00047876"/>
    <w:rsid w:val="0005188F"/>
    <w:rsid w:val="0005478C"/>
    <w:rsid w:val="00056D9B"/>
    <w:rsid w:val="00060CAB"/>
    <w:rsid w:val="000641C3"/>
    <w:rsid w:val="000720F3"/>
    <w:rsid w:val="00074E00"/>
    <w:rsid w:val="00081A41"/>
    <w:rsid w:val="00081EE4"/>
    <w:rsid w:val="000830B0"/>
    <w:rsid w:val="00087CA1"/>
    <w:rsid w:val="000942DB"/>
    <w:rsid w:val="0009590E"/>
    <w:rsid w:val="0009605F"/>
    <w:rsid w:val="00096104"/>
    <w:rsid w:val="00096632"/>
    <w:rsid w:val="000A163C"/>
    <w:rsid w:val="000A2C27"/>
    <w:rsid w:val="000A3943"/>
    <w:rsid w:val="000A4375"/>
    <w:rsid w:val="000A4CDB"/>
    <w:rsid w:val="000A5E35"/>
    <w:rsid w:val="000A74B4"/>
    <w:rsid w:val="000B11A6"/>
    <w:rsid w:val="000B1354"/>
    <w:rsid w:val="000B1589"/>
    <w:rsid w:val="000B3B81"/>
    <w:rsid w:val="000B5FB2"/>
    <w:rsid w:val="000B6CE2"/>
    <w:rsid w:val="000C0D96"/>
    <w:rsid w:val="000C2F6D"/>
    <w:rsid w:val="000C3E50"/>
    <w:rsid w:val="000C6C72"/>
    <w:rsid w:val="000D066F"/>
    <w:rsid w:val="000D170E"/>
    <w:rsid w:val="000D405E"/>
    <w:rsid w:val="000E1780"/>
    <w:rsid w:val="000E4CF0"/>
    <w:rsid w:val="000F04FE"/>
    <w:rsid w:val="000F484C"/>
    <w:rsid w:val="000F5CFD"/>
    <w:rsid w:val="000F7019"/>
    <w:rsid w:val="00110AB8"/>
    <w:rsid w:val="00111A96"/>
    <w:rsid w:val="001124B3"/>
    <w:rsid w:val="001164A8"/>
    <w:rsid w:val="00120194"/>
    <w:rsid w:val="001229EB"/>
    <w:rsid w:val="00123154"/>
    <w:rsid w:val="00124422"/>
    <w:rsid w:val="0012523F"/>
    <w:rsid w:val="0012630F"/>
    <w:rsid w:val="00126C0A"/>
    <w:rsid w:val="0013050B"/>
    <w:rsid w:val="00132684"/>
    <w:rsid w:val="0013317A"/>
    <w:rsid w:val="00133C4C"/>
    <w:rsid w:val="00134E61"/>
    <w:rsid w:val="00135225"/>
    <w:rsid w:val="00137B59"/>
    <w:rsid w:val="00140873"/>
    <w:rsid w:val="00142D3A"/>
    <w:rsid w:val="0014488C"/>
    <w:rsid w:val="001479AB"/>
    <w:rsid w:val="00154564"/>
    <w:rsid w:val="0015541E"/>
    <w:rsid w:val="00155AC2"/>
    <w:rsid w:val="00161478"/>
    <w:rsid w:val="001636ED"/>
    <w:rsid w:val="00170006"/>
    <w:rsid w:val="00171DE0"/>
    <w:rsid w:val="00180931"/>
    <w:rsid w:val="00183CDF"/>
    <w:rsid w:val="00184925"/>
    <w:rsid w:val="00194BB7"/>
    <w:rsid w:val="001A3F74"/>
    <w:rsid w:val="001A4D88"/>
    <w:rsid w:val="001A5211"/>
    <w:rsid w:val="001A6593"/>
    <w:rsid w:val="001B59AB"/>
    <w:rsid w:val="001B5D2F"/>
    <w:rsid w:val="001C0CC1"/>
    <w:rsid w:val="001C21C1"/>
    <w:rsid w:val="001C4F34"/>
    <w:rsid w:val="001C6B45"/>
    <w:rsid w:val="001C731E"/>
    <w:rsid w:val="001D4059"/>
    <w:rsid w:val="001D55EB"/>
    <w:rsid w:val="001D6A6F"/>
    <w:rsid w:val="001D6EF7"/>
    <w:rsid w:val="001D77D0"/>
    <w:rsid w:val="001E0427"/>
    <w:rsid w:val="001E0B6D"/>
    <w:rsid w:val="001E3BCC"/>
    <w:rsid w:val="001E5600"/>
    <w:rsid w:val="001E772A"/>
    <w:rsid w:val="001F26DA"/>
    <w:rsid w:val="001F5027"/>
    <w:rsid w:val="001F5250"/>
    <w:rsid w:val="001F5290"/>
    <w:rsid w:val="001F66BE"/>
    <w:rsid w:val="002067A8"/>
    <w:rsid w:val="00206DF6"/>
    <w:rsid w:val="002113BC"/>
    <w:rsid w:val="0021502C"/>
    <w:rsid w:val="002160C2"/>
    <w:rsid w:val="0021651D"/>
    <w:rsid w:val="002205E6"/>
    <w:rsid w:val="002322C4"/>
    <w:rsid w:val="002339D2"/>
    <w:rsid w:val="00234960"/>
    <w:rsid w:val="00240324"/>
    <w:rsid w:val="00241061"/>
    <w:rsid w:val="0024462C"/>
    <w:rsid w:val="0024726C"/>
    <w:rsid w:val="00247EEE"/>
    <w:rsid w:val="00251D0F"/>
    <w:rsid w:val="002520D8"/>
    <w:rsid w:val="00252834"/>
    <w:rsid w:val="002530EF"/>
    <w:rsid w:val="0025434F"/>
    <w:rsid w:val="002545F4"/>
    <w:rsid w:val="00255843"/>
    <w:rsid w:val="002569EA"/>
    <w:rsid w:val="0026541B"/>
    <w:rsid w:val="0026555F"/>
    <w:rsid w:val="00266D42"/>
    <w:rsid w:val="00267BE6"/>
    <w:rsid w:val="00270594"/>
    <w:rsid w:val="002747E5"/>
    <w:rsid w:val="00276F0E"/>
    <w:rsid w:val="00280456"/>
    <w:rsid w:val="002828B6"/>
    <w:rsid w:val="002846DB"/>
    <w:rsid w:val="0028631A"/>
    <w:rsid w:val="00294788"/>
    <w:rsid w:val="00295783"/>
    <w:rsid w:val="002A3BEA"/>
    <w:rsid w:val="002A4098"/>
    <w:rsid w:val="002B03B3"/>
    <w:rsid w:val="002B19DB"/>
    <w:rsid w:val="002B2CD8"/>
    <w:rsid w:val="002C5562"/>
    <w:rsid w:val="002C5CAC"/>
    <w:rsid w:val="002D0D46"/>
    <w:rsid w:val="002D1F87"/>
    <w:rsid w:val="002E14D9"/>
    <w:rsid w:val="002E5DD8"/>
    <w:rsid w:val="002F3647"/>
    <w:rsid w:val="002F4BCA"/>
    <w:rsid w:val="0030039A"/>
    <w:rsid w:val="0030423F"/>
    <w:rsid w:val="003049A9"/>
    <w:rsid w:val="0030560D"/>
    <w:rsid w:val="00310290"/>
    <w:rsid w:val="00312F7F"/>
    <w:rsid w:val="003168A7"/>
    <w:rsid w:val="00317D6E"/>
    <w:rsid w:val="00323288"/>
    <w:rsid w:val="003233C6"/>
    <w:rsid w:val="00323724"/>
    <w:rsid w:val="003251E4"/>
    <w:rsid w:val="00325442"/>
    <w:rsid w:val="00327F84"/>
    <w:rsid w:val="003306E2"/>
    <w:rsid w:val="00330DAE"/>
    <w:rsid w:val="003347E3"/>
    <w:rsid w:val="00334BD5"/>
    <w:rsid w:val="0033615D"/>
    <w:rsid w:val="00337C01"/>
    <w:rsid w:val="00340456"/>
    <w:rsid w:val="00340DC8"/>
    <w:rsid w:val="00341894"/>
    <w:rsid w:val="0034247E"/>
    <w:rsid w:val="003451DA"/>
    <w:rsid w:val="00346196"/>
    <w:rsid w:val="00346A6B"/>
    <w:rsid w:val="00353E55"/>
    <w:rsid w:val="0035625C"/>
    <w:rsid w:val="00357229"/>
    <w:rsid w:val="00361E30"/>
    <w:rsid w:val="00365E26"/>
    <w:rsid w:val="00371AA1"/>
    <w:rsid w:val="0037582F"/>
    <w:rsid w:val="00376057"/>
    <w:rsid w:val="003766E9"/>
    <w:rsid w:val="0038238A"/>
    <w:rsid w:val="00382F49"/>
    <w:rsid w:val="00383821"/>
    <w:rsid w:val="00386480"/>
    <w:rsid w:val="003925CF"/>
    <w:rsid w:val="00393FEF"/>
    <w:rsid w:val="003941AA"/>
    <w:rsid w:val="003A22EA"/>
    <w:rsid w:val="003B561A"/>
    <w:rsid w:val="003B6966"/>
    <w:rsid w:val="003C196D"/>
    <w:rsid w:val="003C28A4"/>
    <w:rsid w:val="003C2E92"/>
    <w:rsid w:val="003C34AC"/>
    <w:rsid w:val="003C5851"/>
    <w:rsid w:val="003C643B"/>
    <w:rsid w:val="003D38CE"/>
    <w:rsid w:val="003D58BE"/>
    <w:rsid w:val="003D6B00"/>
    <w:rsid w:val="003D6F09"/>
    <w:rsid w:val="003E04B0"/>
    <w:rsid w:val="003E0CE8"/>
    <w:rsid w:val="003E220B"/>
    <w:rsid w:val="003E3E62"/>
    <w:rsid w:val="003E4D7E"/>
    <w:rsid w:val="003E6533"/>
    <w:rsid w:val="003F1C0A"/>
    <w:rsid w:val="003F49B9"/>
    <w:rsid w:val="00401BF8"/>
    <w:rsid w:val="00404F2C"/>
    <w:rsid w:val="0040538D"/>
    <w:rsid w:val="004057EC"/>
    <w:rsid w:val="0041143C"/>
    <w:rsid w:val="004118BE"/>
    <w:rsid w:val="00422100"/>
    <w:rsid w:val="00424244"/>
    <w:rsid w:val="00424D32"/>
    <w:rsid w:val="00425F9B"/>
    <w:rsid w:val="004313DA"/>
    <w:rsid w:val="00431CC7"/>
    <w:rsid w:val="00432425"/>
    <w:rsid w:val="004352E3"/>
    <w:rsid w:val="00436687"/>
    <w:rsid w:val="00437AC6"/>
    <w:rsid w:val="004638FD"/>
    <w:rsid w:val="00465179"/>
    <w:rsid w:val="00465B3F"/>
    <w:rsid w:val="00472067"/>
    <w:rsid w:val="00473338"/>
    <w:rsid w:val="00474115"/>
    <w:rsid w:val="00474AAD"/>
    <w:rsid w:val="00475723"/>
    <w:rsid w:val="004807B6"/>
    <w:rsid w:val="004807ED"/>
    <w:rsid w:val="00483606"/>
    <w:rsid w:val="00486C48"/>
    <w:rsid w:val="004900DD"/>
    <w:rsid w:val="0049266F"/>
    <w:rsid w:val="00496000"/>
    <w:rsid w:val="00497323"/>
    <w:rsid w:val="004A13B7"/>
    <w:rsid w:val="004B1AD0"/>
    <w:rsid w:val="004B4B4F"/>
    <w:rsid w:val="004B5BA9"/>
    <w:rsid w:val="004B7E6C"/>
    <w:rsid w:val="004C10EF"/>
    <w:rsid w:val="004C1F3F"/>
    <w:rsid w:val="004C443A"/>
    <w:rsid w:val="004C7AB2"/>
    <w:rsid w:val="004C7C76"/>
    <w:rsid w:val="004D0A85"/>
    <w:rsid w:val="004D0CD0"/>
    <w:rsid w:val="004D15A5"/>
    <w:rsid w:val="004D3759"/>
    <w:rsid w:val="004D4915"/>
    <w:rsid w:val="004E1734"/>
    <w:rsid w:val="004E3712"/>
    <w:rsid w:val="004E5F6B"/>
    <w:rsid w:val="004E66CD"/>
    <w:rsid w:val="004E6F68"/>
    <w:rsid w:val="004F6694"/>
    <w:rsid w:val="0050616F"/>
    <w:rsid w:val="0051069C"/>
    <w:rsid w:val="005144E0"/>
    <w:rsid w:val="0051554C"/>
    <w:rsid w:val="00515E72"/>
    <w:rsid w:val="00517856"/>
    <w:rsid w:val="00521E1D"/>
    <w:rsid w:val="00527990"/>
    <w:rsid w:val="00530454"/>
    <w:rsid w:val="00540BCA"/>
    <w:rsid w:val="00546C2A"/>
    <w:rsid w:val="00546E80"/>
    <w:rsid w:val="00547A8C"/>
    <w:rsid w:val="005513E7"/>
    <w:rsid w:val="00551DE7"/>
    <w:rsid w:val="00554346"/>
    <w:rsid w:val="00554529"/>
    <w:rsid w:val="00554AE8"/>
    <w:rsid w:val="00556549"/>
    <w:rsid w:val="00566AAC"/>
    <w:rsid w:val="005716D6"/>
    <w:rsid w:val="005726BB"/>
    <w:rsid w:val="005732E4"/>
    <w:rsid w:val="0057508B"/>
    <w:rsid w:val="00580169"/>
    <w:rsid w:val="00583625"/>
    <w:rsid w:val="00592AB9"/>
    <w:rsid w:val="00595902"/>
    <w:rsid w:val="005A21D5"/>
    <w:rsid w:val="005A230E"/>
    <w:rsid w:val="005A3BF7"/>
    <w:rsid w:val="005B0EDA"/>
    <w:rsid w:val="005B140C"/>
    <w:rsid w:val="005B3322"/>
    <w:rsid w:val="005B3499"/>
    <w:rsid w:val="005B6BE9"/>
    <w:rsid w:val="005C1D41"/>
    <w:rsid w:val="005C62C1"/>
    <w:rsid w:val="005D1445"/>
    <w:rsid w:val="005D150D"/>
    <w:rsid w:val="005D4301"/>
    <w:rsid w:val="005D57B0"/>
    <w:rsid w:val="005E09BF"/>
    <w:rsid w:val="005E2528"/>
    <w:rsid w:val="005E2C6F"/>
    <w:rsid w:val="005E4345"/>
    <w:rsid w:val="005E6327"/>
    <w:rsid w:val="005F1DDA"/>
    <w:rsid w:val="005F50E2"/>
    <w:rsid w:val="0060331F"/>
    <w:rsid w:val="00603C2A"/>
    <w:rsid w:val="00605096"/>
    <w:rsid w:val="0061020A"/>
    <w:rsid w:val="006111A7"/>
    <w:rsid w:val="006126BC"/>
    <w:rsid w:val="0061774E"/>
    <w:rsid w:val="006208CA"/>
    <w:rsid w:val="00632808"/>
    <w:rsid w:val="00632CFE"/>
    <w:rsid w:val="0063323F"/>
    <w:rsid w:val="0063617C"/>
    <w:rsid w:val="00637918"/>
    <w:rsid w:val="00647143"/>
    <w:rsid w:val="00647702"/>
    <w:rsid w:val="00650486"/>
    <w:rsid w:val="006523B9"/>
    <w:rsid w:val="00653E51"/>
    <w:rsid w:val="00654D01"/>
    <w:rsid w:val="006612EC"/>
    <w:rsid w:val="0066244D"/>
    <w:rsid w:val="0066741B"/>
    <w:rsid w:val="006675CE"/>
    <w:rsid w:val="00677E12"/>
    <w:rsid w:val="006806E2"/>
    <w:rsid w:val="0068278C"/>
    <w:rsid w:val="006830DD"/>
    <w:rsid w:val="00697D08"/>
    <w:rsid w:val="006A646E"/>
    <w:rsid w:val="006A6DA5"/>
    <w:rsid w:val="006B0E1F"/>
    <w:rsid w:val="006B2FDF"/>
    <w:rsid w:val="006B334C"/>
    <w:rsid w:val="006B449B"/>
    <w:rsid w:val="006B6E3D"/>
    <w:rsid w:val="006C3309"/>
    <w:rsid w:val="006C3C56"/>
    <w:rsid w:val="006C3C57"/>
    <w:rsid w:val="006C4750"/>
    <w:rsid w:val="006C4CD1"/>
    <w:rsid w:val="006C73EC"/>
    <w:rsid w:val="006C749D"/>
    <w:rsid w:val="006D5E56"/>
    <w:rsid w:val="006D61FA"/>
    <w:rsid w:val="006E07B2"/>
    <w:rsid w:val="006E5CAC"/>
    <w:rsid w:val="006E6945"/>
    <w:rsid w:val="006E74F7"/>
    <w:rsid w:val="006E760E"/>
    <w:rsid w:val="006F036D"/>
    <w:rsid w:val="006F39EA"/>
    <w:rsid w:val="006F3ED4"/>
    <w:rsid w:val="006F7CF3"/>
    <w:rsid w:val="0070118F"/>
    <w:rsid w:val="007044CB"/>
    <w:rsid w:val="0070461C"/>
    <w:rsid w:val="00704CF1"/>
    <w:rsid w:val="00706269"/>
    <w:rsid w:val="0071028B"/>
    <w:rsid w:val="0071163D"/>
    <w:rsid w:val="00715C3C"/>
    <w:rsid w:val="00717ACB"/>
    <w:rsid w:val="00720F93"/>
    <w:rsid w:val="00720FD4"/>
    <w:rsid w:val="00723015"/>
    <w:rsid w:val="007262F5"/>
    <w:rsid w:val="007332F7"/>
    <w:rsid w:val="0073374A"/>
    <w:rsid w:val="00734B68"/>
    <w:rsid w:val="00743457"/>
    <w:rsid w:val="007443A0"/>
    <w:rsid w:val="00744D7E"/>
    <w:rsid w:val="007519B3"/>
    <w:rsid w:val="00752193"/>
    <w:rsid w:val="007542F1"/>
    <w:rsid w:val="00754E0C"/>
    <w:rsid w:val="0075615A"/>
    <w:rsid w:val="00756255"/>
    <w:rsid w:val="00761339"/>
    <w:rsid w:val="00762922"/>
    <w:rsid w:val="007648C1"/>
    <w:rsid w:val="007663D4"/>
    <w:rsid w:val="007704F7"/>
    <w:rsid w:val="00770E23"/>
    <w:rsid w:val="00772714"/>
    <w:rsid w:val="007765DF"/>
    <w:rsid w:val="00777A60"/>
    <w:rsid w:val="00780024"/>
    <w:rsid w:val="007851A5"/>
    <w:rsid w:val="00787194"/>
    <w:rsid w:val="00790710"/>
    <w:rsid w:val="00791084"/>
    <w:rsid w:val="0079134C"/>
    <w:rsid w:val="00792413"/>
    <w:rsid w:val="00792D38"/>
    <w:rsid w:val="00792E65"/>
    <w:rsid w:val="007A1212"/>
    <w:rsid w:val="007A341C"/>
    <w:rsid w:val="007B4873"/>
    <w:rsid w:val="007C0770"/>
    <w:rsid w:val="007C435D"/>
    <w:rsid w:val="007C4BCB"/>
    <w:rsid w:val="007C7F41"/>
    <w:rsid w:val="007D19C6"/>
    <w:rsid w:val="007D4397"/>
    <w:rsid w:val="007E419D"/>
    <w:rsid w:val="007E6345"/>
    <w:rsid w:val="007E7837"/>
    <w:rsid w:val="007F01EA"/>
    <w:rsid w:val="007F24A2"/>
    <w:rsid w:val="007F24D5"/>
    <w:rsid w:val="007F2EB9"/>
    <w:rsid w:val="007F3F0B"/>
    <w:rsid w:val="008028CA"/>
    <w:rsid w:val="00806A05"/>
    <w:rsid w:val="008118A9"/>
    <w:rsid w:val="00812892"/>
    <w:rsid w:val="00812EA5"/>
    <w:rsid w:val="0081337B"/>
    <w:rsid w:val="00815FC9"/>
    <w:rsid w:val="0082070A"/>
    <w:rsid w:val="00820A55"/>
    <w:rsid w:val="00822D2B"/>
    <w:rsid w:val="00822E01"/>
    <w:rsid w:val="00824075"/>
    <w:rsid w:val="00824F6E"/>
    <w:rsid w:val="0083195A"/>
    <w:rsid w:val="008329D9"/>
    <w:rsid w:val="00833CAB"/>
    <w:rsid w:val="00834B33"/>
    <w:rsid w:val="00850A63"/>
    <w:rsid w:val="00851918"/>
    <w:rsid w:val="00852456"/>
    <w:rsid w:val="0085523A"/>
    <w:rsid w:val="008570EA"/>
    <w:rsid w:val="00864BD2"/>
    <w:rsid w:val="008651A4"/>
    <w:rsid w:val="00866215"/>
    <w:rsid w:val="008671D2"/>
    <w:rsid w:val="00885D66"/>
    <w:rsid w:val="00885EA2"/>
    <w:rsid w:val="008913B5"/>
    <w:rsid w:val="0089143A"/>
    <w:rsid w:val="008919FC"/>
    <w:rsid w:val="008944A6"/>
    <w:rsid w:val="00895B04"/>
    <w:rsid w:val="008A542F"/>
    <w:rsid w:val="008A5453"/>
    <w:rsid w:val="008A6C68"/>
    <w:rsid w:val="008A7A3C"/>
    <w:rsid w:val="008B13C5"/>
    <w:rsid w:val="008B1B88"/>
    <w:rsid w:val="008B553A"/>
    <w:rsid w:val="008B5BFB"/>
    <w:rsid w:val="008C1451"/>
    <w:rsid w:val="008C21B9"/>
    <w:rsid w:val="008C3C36"/>
    <w:rsid w:val="008C3E00"/>
    <w:rsid w:val="008C5A69"/>
    <w:rsid w:val="008C7FF7"/>
    <w:rsid w:val="008D056A"/>
    <w:rsid w:val="008D22DE"/>
    <w:rsid w:val="008D390E"/>
    <w:rsid w:val="008E0894"/>
    <w:rsid w:val="008E2376"/>
    <w:rsid w:val="008E2AF0"/>
    <w:rsid w:val="008E2FFA"/>
    <w:rsid w:val="008E5055"/>
    <w:rsid w:val="008F196A"/>
    <w:rsid w:val="008F1DB9"/>
    <w:rsid w:val="008F212D"/>
    <w:rsid w:val="008F32B6"/>
    <w:rsid w:val="008F65DA"/>
    <w:rsid w:val="008F6BEE"/>
    <w:rsid w:val="00903A4B"/>
    <w:rsid w:val="00904C3F"/>
    <w:rsid w:val="00904D89"/>
    <w:rsid w:val="0091007B"/>
    <w:rsid w:val="0091465D"/>
    <w:rsid w:val="00916A2C"/>
    <w:rsid w:val="009177D5"/>
    <w:rsid w:val="00922FFA"/>
    <w:rsid w:val="0092445D"/>
    <w:rsid w:val="00925547"/>
    <w:rsid w:val="00925C29"/>
    <w:rsid w:val="00926388"/>
    <w:rsid w:val="00926B75"/>
    <w:rsid w:val="009276EF"/>
    <w:rsid w:val="009327BB"/>
    <w:rsid w:val="00935662"/>
    <w:rsid w:val="00937039"/>
    <w:rsid w:val="00940EB5"/>
    <w:rsid w:val="00943540"/>
    <w:rsid w:val="00943683"/>
    <w:rsid w:val="00953775"/>
    <w:rsid w:val="00953D35"/>
    <w:rsid w:val="00954842"/>
    <w:rsid w:val="00963F99"/>
    <w:rsid w:val="00967DB5"/>
    <w:rsid w:val="009715B7"/>
    <w:rsid w:val="0098113F"/>
    <w:rsid w:val="00984334"/>
    <w:rsid w:val="00991E0C"/>
    <w:rsid w:val="00992554"/>
    <w:rsid w:val="00995AA3"/>
    <w:rsid w:val="00997164"/>
    <w:rsid w:val="009A037A"/>
    <w:rsid w:val="009A0641"/>
    <w:rsid w:val="009A0E17"/>
    <w:rsid w:val="009A21BF"/>
    <w:rsid w:val="009A68C4"/>
    <w:rsid w:val="009A7029"/>
    <w:rsid w:val="009A7F29"/>
    <w:rsid w:val="009B19C1"/>
    <w:rsid w:val="009B300C"/>
    <w:rsid w:val="009C09AC"/>
    <w:rsid w:val="009C253F"/>
    <w:rsid w:val="009C5642"/>
    <w:rsid w:val="009C609D"/>
    <w:rsid w:val="009C7F4B"/>
    <w:rsid w:val="009D0806"/>
    <w:rsid w:val="009D679F"/>
    <w:rsid w:val="009E37FB"/>
    <w:rsid w:val="009E52DB"/>
    <w:rsid w:val="009F3D24"/>
    <w:rsid w:val="009F495A"/>
    <w:rsid w:val="009F62D8"/>
    <w:rsid w:val="009F6807"/>
    <w:rsid w:val="00A13A86"/>
    <w:rsid w:val="00A16A6C"/>
    <w:rsid w:val="00A214E5"/>
    <w:rsid w:val="00A21C91"/>
    <w:rsid w:val="00A232C2"/>
    <w:rsid w:val="00A23526"/>
    <w:rsid w:val="00A24914"/>
    <w:rsid w:val="00A307B5"/>
    <w:rsid w:val="00A3256D"/>
    <w:rsid w:val="00A33E1D"/>
    <w:rsid w:val="00A40A4A"/>
    <w:rsid w:val="00A4224F"/>
    <w:rsid w:val="00A42268"/>
    <w:rsid w:val="00A42563"/>
    <w:rsid w:val="00A43BDA"/>
    <w:rsid w:val="00A44FD9"/>
    <w:rsid w:val="00A52EE6"/>
    <w:rsid w:val="00A57529"/>
    <w:rsid w:val="00A625F9"/>
    <w:rsid w:val="00A62793"/>
    <w:rsid w:val="00A628EC"/>
    <w:rsid w:val="00A640E2"/>
    <w:rsid w:val="00A65716"/>
    <w:rsid w:val="00A73206"/>
    <w:rsid w:val="00A77823"/>
    <w:rsid w:val="00A820C5"/>
    <w:rsid w:val="00A82840"/>
    <w:rsid w:val="00A85513"/>
    <w:rsid w:val="00A91EDB"/>
    <w:rsid w:val="00A93A79"/>
    <w:rsid w:val="00A94076"/>
    <w:rsid w:val="00A951CA"/>
    <w:rsid w:val="00A976BD"/>
    <w:rsid w:val="00AA6442"/>
    <w:rsid w:val="00AB0E94"/>
    <w:rsid w:val="00AB165D"/>
    <w:rsid w:val="00AB1B3D"/>
    <w:rsid w:val="00AB2D89"/>
    <w:rsid w:val="00AB4EB3"/>
    <w:rsid w:val="00AB5AC6"/>
    <w:rsid w:val="00AB6378"/>
    <w:rsid w:val="00AC0137"/>
    <w:rsid w:val="00AC20C2"/>
    <w:rsid w:val="00AC5C98"/>
    <w:rsid w:val="00AC6727"/>
    <w:rsid w:val="00AC7CBF"/>
    <w:rsid w:val="00AD1EDB"/>
    <w:rsid w:val="00AD793D"/>
    <w:rsid w:val="00AE3106"/>
    <w:rsid w:val="00AE391A"/>
    <w:rsid w:val="00AE5D42"/>
    <w:rsid w:val="00AE5DF3"/>
    <w:rsid w:val="00AE6439"/>
    <w:rsid w:val="00AE6942"/>
    <w:rsid w:val="00AF4E1D"/>
    <w:rsid w:val="00AF7329"/>
    <w:rsid w:val="00B00751"/>
    <w:rsid w:val="00B03235"/>
    <w:rsid w:val="00B1055F"/>
    <w:rsid w:val="00B10B4D"/>
    <w:rsid w:val="00B125C3"/>
    <w:rsid w:val="00B13AC4"/>
    <w:rsid w:val="00B22B89"/>
    <w:rsid w:val="00B2582C"/>
    <w:rsid w:val="00B26C3E"/>
    <w:rsid w:val="00B30442"/>
    <w:rsid w:val="00B33959"/>
    <w:rsid w:val="00B34555"/>
    <w:rsid w:val="00B3502D"/>
    <w:rsid w:val="00B40B21"/>
    <w:rsid w:val="00B43A06"/>
    <w:rsid w:val="00B44E47"/>
    <w:rsid w:val="00B45046"/>
    <w:rsid w:val="00B45BA3"/>
    <w:rsid w:val="00B46734"/>
    <w:rsid w:val="00B47B79"/>
    <w:rsid w:val="00B51FC1"/>
    <w:rsid w:val="00B549DF"/>
    <w:rsid w:val="00B568E1"/>
    <w:rsid w:val="00B57F8A"/>
    <w:rsid w:val="00B64F10"/>
    <w:rsid w:val="00B703D9"/>
    <w:rsid w:val="00B70F07"/>
    <w:rsid w:val="00B73330"/>
    <w:rsid w:val="00B73436"/>
    <w:rsid w:val="00B75FFD"/>
    <w:rsid w:val="00B76887"/>
    <w:rsid w:val="00B82614"/>
    <w:rsid w:val="00B8350B"/>
    <w:rsid w:val="00B83F1D"/>
    <w:rsid w:val="00B845EF"/>
    <w:rsid w:val="00B85417"/>
    <w:rsid w:val="00B8584A"/>
    <w:rsid w:val="00B926E3"/>
    <w:rsid w:val="00BA2A28"/>
    <w:rsid w:val="00BA5941"/>
    <w:rsid w:val="00BA5E65"/>
    <w:rsid w:val="00BA6F42"/>
    <w:rsid w:val="00BA7ED0"/>
    <w:rsid w:val="00BB02EF"/>
    <w:rsid w:val="00BB7010"/>
    <w:rsid w:val="00BC1303"/>
    <w:rsid w:val="00BC19AE"/>
    <w:rsid w:val="00BC2A04"/>
    <w:rsid w:val="00BC7714"/>
    <w:rsid w:val="00BD01C4"/>
    <w:rsid w:val="00BD04FB"/>
    <w:rsid w:val="00BD0A6C"/>
    <w:rsid w:val="00BD121B"/>
    <w:rsid w:val="00BD24C3"/>
    <w:rsid w:val="00BD4B8A"/>
    <w:rsid w:val="00BE06F2"/>
    <w:rsid w:val="00BE123E"/>
    <w:rsid w:val="00BE7DC8"/>
    <w:rsid w:val="00BF40CB"/>
    <w:rsid w:val="00BF4AC0"/>
    <w:rsid w:val="00BF5B60"/>
    <w:rsid w:val="00BF6959"/>
    <w:rsid w:val="00C055E1"/>
    <w:rsid w:val="00C12A44"/>
    <w:rsid w:val="00C2135B"/>
    <w:rsid w:val="00C21EE2"/>
    <w:rsid w:val="00C21FEC"/>
    <w:rsid w:val="00C2234D"/>
    <w:rsid w:val="00C24C03"/>
    <w:rsid w:val="00C260D7"/>
    <w:rsid w:val="00C306FA"/>
    <w:rsid w:val="00C30B11"/>
    <w:rsid w:val="00C30F2C"/>
    <w:rsid w:val="00C33E15"/>
    <w:rsid w:val="00C34C5D"/>
    <w:rsid w:val="00C350CD"/>
    <w:rsid w:val="00C351D1"/>
    <w:rsid w:val="00C35EC4"/>
    <w:rsid w:val="00C37FBA"/>
    <w:rsid w:val="00C42AAF"/>
    <w:rsid w:val="00C473ED"/>
    <w:rsid w:val="00C5033A"/>
    <w:rsid w:val="00C53DEF"/>
    <w:rsid w:val="00C55551"/>
    <w:rsid w:val="00C55D35"/>
    <w:rsid w:val="00C56A8D"/>
    <w:rsid w:val="00C56BE4"/>
    <w:rsid w:val="00C6031C"/>
    <w:rsid w:val="00C64B67"/>
    <w:rsid w:val="00C64D0B"/>
    <w:rsid w:val="00C659A2"/>
    <w:rsid w:val="00C71D06"/>
    <w:rsid w:val="00C749BA"/>
    <w:rsid w:val="00C74A0F"/>
    <w:rsid w:val="00C75C69"/>
    <w:rsid w:val="00C81437"/>
    <w:rsid w:val="00C865D6"/>
    <w:rsid w:val="00C94CD6"/>
    <w:rsid w:val="00CA2670"/>
    <w:rsid w:val="00CA5A2B"/>
    <w:rsid w:val="00CB01AA"/>
    <w:rsid w:val="00CB1044"/>
    <w:rsid w:val="00CB1ED2"/>
    <w:rsid w:val="00CC1AF6"/>
    <w:rsid w:val="00CC2A83"/>
    <w:rsid w:val="00CD35D6"/>
    <w:rsid w:val="00CD4468"/>
    <w:rsid w:val="00CD5DD7"/>
    <w:rsid w:val="00CD5F52"/>
    <w:rsid w:val="00CD74B6"/>
    <w:rsid w:val="00CE166E"/>
    <w:rsid w:val="00CE1BAD"/>
    <w:rsid w:val="00CE3D2C"/>
    <w:rsid w:val="00CE7994"/>
    <w:rsid w:val="00CF0E32"/>
    <w:rsid w:val="00CF1432"/>
    <w:rsid w:val="00CF24F5"/>
    <w:rsid w:val="00CF6A6F"/>
    <w:rsid w:val="00D0230E"/>
    <w:rsid w:val="00D0367C"/>
    <w:rsid w:val="00D10C5C"/>
    <w:rsid w:val="00D127F6"/>
    <w:rsid w:val="00D1601E"/>
    <w:rsid w:val="00D16BB7"/>
    <w:rsid w:val="00D17932"/>
    <w:rsid w:val="00D209DD"/>
    <w:rsid w:val="00D219BE"/>
    <w:rsid w:val="00D25506"/>
    <w:rsid w:val="00D2750C"/>
    <w:rsid w:val="00D27CEB"/>
    <w:rsid w:val="00D3331B"/>
    <w:rsid w:val="00D4416B"/>
    <w:rsid w:val="00D44FCA"/>
    <w:rsid w:val="00D5068E"/>
    <w:rsid w:val="00D52028"/>
    <w:rsid w:val="00D55582"/>
    <w:rsid w:val="00D5668E"/>
    <w:rsid w:val="00D56ABD"/>
    <w:rsid w:val="00D6415D"/>
    <w:rsid w:val="00D64DCD"/>
    <w:rsid w:val="00D7064D"/>
    <w:rsid w:val="00D71BE9"/>
    <w:rsid w:val="00D733EA"/>
    <w:rsid w:val="00D75DB3"/>
    <w:rsid w:val="00D75F8D"/>
    <w:rsid w:val="00D820F9"/>
    <w:rsid w:val="00D8322A"/>
    <w:rsid w:val="00D83958"/>
    <w:rsid w:val="00D85AF1"/>
    <w:rsid w:val="00D8661D"/>
    <w:rsid w:val="00D879EF"/>
    <w:rsid w:val="00D87B35"/>
    <w:rsid w:val="00D902CA"/>
    <w:rsid w:val="00D9647B"/>
    <w:rsid w:val="00D977CA"/>
    <w:rsid w:val="00D97A12"/>
    <w:rsid w:val="00DA33AA"/>
    <w:rsid w:val="00DA5377"/>
    <w:rsid w:val="00DA5D1A"/>
    <w:rsid w:val="00DB0B52"/>
    <w:rsid w:val="00DB14A5"/>
    <w:rsid w:val="00DB45C1"/>
    <w:rsid w:val="00DB5173"/>
    <w:rsid w:val="00DC2C94"/>
    <w:rsid w:val="00DC50BA"/>
    <w:rsid w:val="00DC6BB2"/>
    <w:rsid w:val="00DD0A2B"/>
    <w:rsid w:val="00DD2309"/>
    <w:rsid w:val="00DD62F8"/>
    <w:rsid w:val="00DD6BEB"/>
    <w:rsid w:val="00DE2CEE"/>
    <w:rsid w:val="00DF1912"/>
    <w:rsid w:val="00DF2561"/>
    <w:rsid w:val="00DF2D08"/>
    <w:rsid w:val="00DF5F0E"/>
    <w:rsid w:val="00DF6059"/>
    <w:rsid w:val="00DF7A1E"/>
    <w:rsid w:val="00E019FD"/>
    <w:rsid w:val="00E078FA"/>
    <w:rsid w:val="00E17217"/>
    <w:rsid w:val="00E24AE1"/>
    <w:rsid w:val="00E30CFE"/>
    <w:rsid w:val="00E33DB8"/>
    <w:rsid w:val="00E35BDD"/>
    <w:rsid w:val="00E41C30"/>
    <w:rsid w:val="00E41D52"/>
    <w:rsid w:val="00E51E65"/>
    <w:rsid w:val="00E560B5"/>
    <w:rsid w:val="00E642BF"/>
    <w:rsid w:val="00E64746"/>
    <w:rsid w:val="00E71912"/>
    <w:rsid w:val="00E74238"/>
    <w:rsid w:val="00E75BD4"/>
    <w:rsid w:val="00E7678B"/>
    <w:rsid w:val="00E77E9E"/>
    <w:rsid w:val="00E81375"/>
    <w:rsid w:val="00E83774"/>
    <w:rsid w:val="00E85513"/>
    <w:rsid w:val="00E86A9A"/>
    <w:rsid w:val="00E93987"/>
    <w:rsid w:val="00E94886"/>
    <w:rsid w:val="00E94A80"/>
    <w:rsid w:val="00E96A5C"/>
    <w:rsid w:val="00E97453"/>
    <w:rsid w:val="00E97C64"/>
    <w:rsid w:val="00EA3C2A"/>
    <w:rsid w:val="00EA4793"/>
    <w:rsid w:val="00EA5597"/>
    <w:rsid w:val="00EB1314"/>
    <w:rsid w:val="00EB5141"/>
    <w:rsid w:val="00EB76BD"/>
    <w:rsid w:val="00EC0139"/>
    <w:rsid w:val="00EC1635"/>
    <w:rsid w:val="00EC380E"/>
    <w:rsid w:val="00EC3E7A"/>
    <w:rsid w:val="00EC6E6E"/>
    <w:rsid w:val="00ED1BE7"/>
    <w:rsid w:val="00ED1E95"/>
    <w:rsid w:val="00ED6D50"/>
    <w:rsid w:val="00EF27CD"/>
    <w:rsid w:val="00EF3212"/>
    <w:rsid w:val="00EF4AB2"/>
    <w:rsid w:val="00EF7385"/>
    <w:rsid w:val="00F00D15"/>
    <w:rsid w:val="00F046B0"/>
    <w:rsid w:val="00F05239"/>
    <w:rsid w:val="00F0674C"/>
    <w:rsid w:val="00F11745"/>
    <w:rsid w:val="00F15E72"/>
    <w:rsid w:val="00F163FF"/>
    <w:rsid w:val="00F20D5B"/>
    <w:rsid w:val="00F229D3"/>
    <w:rsid w:val="00F24FD6"/>
    <w:rsid w:val="00F309DA"/>
    <w:rsid w:val="00F37CF5"/>
    <w:rsid w:val="00F417D4"/>
    <w:rsid w:val="00F44142"/>
    <w:rsid w:val="00F47BB8"/>
    <w:rsid w:val="00F529BC"/>
    <w:rsid w:val="00F52AA5"/>
    <w:rsid w:val="00F53BAA"/>
    <w:rsid w:val="00F545FF"/>
    <w:rsid w:val="00F55ECE"/>
    <w:rsid w:val="00F664A0"/>
    <w:rsid w:val="00F66F15"/>
    <w:rsid w:val="00F67151"/>
    <w:rsid w:val="00F73AB0"/>
    <w:rsid w:val="00F75A40"/>
    <w:rsid w:val="00F75BB0"/>
    <w:rsid w:val="00F75D63"/>
    <w:rsid w:val="00F76BAB"/>
    <w:rsid w:val="00F76CE0"/>
    <w:rsid w:val="00F773A7"/>
    <w:rsid w:val="00F829F3"/>
    <w:rsid w:val="00F859AC"/>
    <w:rsid w:val="00F92A66"/>
    <w:rsid w:val="00F93DFE"/>
    <w:rsid w:val="00F94F92"/>
    <w:rsid w:val="00F95202"/>
    <w:rsid w:val="00F96221"/>
    <w:rsid w:val="00F973E6"/>
    <w:rsid w:val="00FA6BCC"/>
    <w:rsid w:val="00FB0ABE"/>
    <w:rsid w:val="00FB157E"/>
    <w:rsid w:val="00FB3BC2"/>
    <w:rsid w:val="00FB7F5E"/>
    <w:rsid w:val="00FC3220"/>
    <w:rsid w:val="00FD16E8"/>
    <w:rsid w:val="00FD7455"/>
    <w:rsid w:val="00FE0E0D"/>
    <w:rsid w:val="00FE0E77"/>
    <w:rsid w:val="00FE41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722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5722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5722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5722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5722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5722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5722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5722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5722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5722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722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5722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5722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5722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5722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5722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5722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5722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5722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57229"/>
    <w:pPr>
      <w:spacing w:line="240" w:lineRule="auto"/>
    </w:pPr>
    <w:rPr>
      <w:bCs/>
      <w:color w:val="auto"/>
      <w:sz w:val="18"/>
      <w:szCs w:val="18"/>
    </w:rPr>
  </w:style>
  <w:style w:type="character" w:customStyle="1" w:styleId="xrs1">
    <w:name w:val="xr_s1"/>
    <w:basedOn w:val="Absatz-Standardschriftart"/>
    <w:rsid w:val="00357229"/>
  </w:style>
  <w:style w:type="paragraph" w:styleId="Sprechblasentext">
    <w:name w:val="Balloon Text"/>
    <w:basedOn w:val="Standard"/>
    <w:link w:val="SprechblasentextZchn"/>
    <w:uiPriority w:val="99"/>
    <w:semiHidden/>
    <w:unhideWhenUsed/>
    <w:rsid w:val="003572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7229"/>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1447</Characters>
  <Application>Microsoft Office Word</Application>
  <DocSecurity>0</DocSecurity>
  <Lines>12</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Mini</cp:lastModifiedBy>
  <cp:revision>1</cp:revision>
  <dcterms:created xsi:type="dcterms:W3CDTF">2015-08-27T08:43:00Z</dcterms:created>
  <dcterms:modified xsi:type="dcterms:W3CDTF">2015-08-27T08:46:00Z</dcterms:modified>
</cp:coreProperties>
</file>