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B1" w:rsidRDefault="006A3BB1" w:rsidP="006A3BB1">
      <w:pPr>
        <w:pStyle w:val="berschrift1"/>
        <w:numPr>
          <w:ilvl w:val="0"/>
          <w:numId w:val="0"/>
        </w:numPr>
        <w:ind w:left="432" w:hanging="432"/>
      </w:pPr>
      <w:bookmarkStart w:id="0" w:name="_Toc426446771"/>
      <w:bookmarkStart w:id="1" w:name="_Toc427992280"/>
      <w:r w:rsidRPr="009877F8">
        <w:rPr>
          <w:noProof/>
          <w:lang w:eastAsia="de-DE"/>
        </w:rPr>
        <w:pict>
          <v:shapetype id="_x0000_t202" coordsize="21600,21600" o:spt="202" path="m,l,21600r21600,l21600,xe">
            <v:stroke joinstyle="miter"/>
            <v:path gradientshapeok="t" o:connecttype="rect"/>
          </v:shapetype>
          <v:shape id="Text Box 60" o:spid="_x0000_s1027" type="#_x0000_t202" style="position:absolute;left:0;text-align:left;margin-left:-4.25pt;margin-top:58.95pt;width:462.45pt;height:10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Text Box 60">
              <w:txbxContent>
                <w:p w:rsidR="006A3BB1" w:rsidRPr="00792071" w:rsidRDefault="006A3BB1" w:rsidP="006A3BB1">
                  <w:pPr>
                    <w:rPr>
                      <w:color w:val="auto"/>
                    </w:rPr>
                  </w:pPr>
                  <w:r>
                    <w:rPr>
                      <w:color w:val="auto"/>
                    </w:rPr>
                    <w:t xml:space="preserve">Bei diesem Versuch soll Aceton in der </w:t>
                  </w:r>
                  <w:proofErr w:type="spellStart"/>
                  <w:r>
                    <w:rPr>
                      <w:color w:val="auto"/>
                    </w:rPr>
                    <w:t>Gasphase</w:t>
                  </w:r>
                  <w:proofErr w:type="spellEnd"/>
                  <w:r>
                    <w:rPr>
                      <w:color w:val="auto"/>
                    </w:rPr>
                    <w:t xml:space="preserve"> mittels heterogener Katalyse an einem Platindraht oxidiert werden. Der Platindraht glüht dabei periodisch auf. Den </w:t>
                  </w:r>
                  <w:proofErr w:type="spellStart"/>
                  <w:r>
                    <w:rPr>
                      <w:color w:val="auto"/>
                    </w:rPr>
                    <w:t>SuS</w:t>
                  </w:r>
                  <w:proofErr w:type="spellEnd"/>
                  <w:r>
                    <w:rPr>
                      <w:color w:val="auto"/>
                    </w:rPr>
                    <w:t xml:space="preserve"> kann mittels diesem Versuchs verdeutlicht werden, dass sich reagierende Stoffe und Katalysator nicht zwangsweise in einer Phase befinden müssen (die gleichen Aggregatzustände besitzen müssen). </w:t>
                  </w:r>
                </w:p>
              </w:txbxContent>
            </v:textbox>
            <w10:wrap type="square"/>
          </v:shape>
        </w:pict>
      </w:r>
      <w:r w:rsidRPr="005669B2">
        <w:t>Lehrerversuche</w:t>
      </w:r>
      <w:bookmarkEnd w:id="0"/>
      <w:bookmarkEnd w:id="1"/>
      <w:r>
        <w:t xml:space="preserve"> - </w:t>
      </w:r>
      <w:bookmarkStart w:id="2" w:name="_Toc426446772"/>
      <w:bookmarkStart w:id="3" w:name="_Toc427992281"/>
      <w:r>
        <w:t>Katalytische Oxidation von Aceton</w:t>
      </w:r>
      <w:bookmarkEnd w:id="2"/>
      <w:bookmarkEnd w:id="3"/>
      <w:r>
        <w:t xml:space="preserve"> </w:t>
      </w:r>
    </w:p>
    <w:p w:rsidR="006A3BB1" w:rsidRDefault="006A3BB1" w:rsidP="006A3BB1">
      <w:pPr>
        <w:tabs>
          <w:tab w:val="left" w:pos="1701"/>
          <w:tab w:val="left" w:pos="1985"/>
          <w:tab w:val="left" w:pos="7485"/>
        </w:tabs>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A3BB1" w:rsidRPr="009C5E28" w:rsidTr="00CC1426">
        <w:tc>
          <w:tcPr>
            <w:tcW w:w="9322" w:type="dxa"/>
            <w:gridSpan w:val="9"/>
            <w:tcBorders>
              <w:top w:val="single" w:sz="8" w:space="0" w:color="4F81BD"/>
              <w:left w:val="single" w:sz="8" w:space="0" w:color="4F81BD"/>
              <w:right w:val="single" w:sz="8" w:space="0" w:color="4F81BD"/>
            </w:tcBorders>
            <w:shd w:val="clear" w:color="auto" w:fill="4F81BD"/>
            <w:vAlign w:val="center"/>
          </w:tcPr>
          <w:p w:rsidR="006A3BB1" w:rsidRPr="0000201B" w:rsidRDefault="006A3BB1" w:rsidP="00CC1426">
            <w:pPr>
              <w:spacing w:after="0"/>
              <w:jc w:val="center"/>
              <w:rPr>
                <w:b/>
                <w:bCs/>
                <w:color w:val="FFFFFF"/>
              </w:rPr>
            </w:pPr>
            <w:r w:rsidRPr="0000201B">
              <w:rPr>
                <w:b/>
                <w:bCs/>
                <w:color w:val="FFFFFF"/>
              </w:rPr>
              <w:t>Gefahrenstoffe</w:t>
            </w:r>
          </w:p>
        </w:tc>
      </w:tr>
      <w:tr w:rsidR="006A3BB1" w:rsidRPr="009C5E28" w:rsidTr="00CC142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A3BB1" w:rsidRPr="009C5E28" w:rsidRDefault="006A3BB1" w:rsidP="00CC1426">
            <w:pPr>
              <w:spacing w:after="0"/>
              <w:jc w:val="center"/>
              <w:rPr>
                <w:bCs/>
              </w:rPr>
            </w:pPr>
            <w:r>
              <w:rPr>
                <w:bCs/>
              </w:rPr>
              <w:t>Aceton</w:t>
            </w:r>
          </w:p>
        </w:tc>
        <w:tc>
          <w:tcPr>
            <w:tcW w:w="3177" w:type="dxa"/>
            <w:gridSpan w:val="3"/>
            <w:tcBorders>
              <w:top w:val="single" w:sz="8" w:space="0" w:color="4F81BD"/>
              <w:bottom w:val="single" w:sz="8" w:space="0" w:color="4F81BD"/>
            </w:tcBorders>
            <w:shd w:val="clear" w:color="auto" w:fill="auto"/>
            <w:vAlign w:val="center"/>
          </w:tcPr>
          <w:p w:rsidR="006A3BB1" w:rsidRPr="009C5E28" w:rsidRDefault="006A3BB1" w:rsidP="00CC1426">
            <w:pPr>
              <w:spacing w:after="0"/>
              <w:jc w:val="center"/>
            </w:pPr>
            <w:r w:rsidRPr="009C5E28">
              <w:rPr>
                <w:color w:val="auto"/>
                <w:sz w:val="20"/>
              </w:rPr>
              <w:t xml:space="preserve">H: </w:t>
            </w:r>
            <w:r>
              <w:rPr>
                <w:color w:val="auto"/>
                <w:sz w:val="20"/>
              </w:rPr>
              <w:t>225, 319, 336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A3BB1" w:rsidRPr="009C5E28" w:rsidRDefault="006A3BB1" w:rsidP="00CC1426">
            <w:pPr>
              <w:spacing w:after="0"/>
              <w:jc w:val="center"/>
            </w:pPr>
            <w:r w:rsidRPr="009C5E28">
              <w:rPr>
                <w:color w:val="auto"/>
                <w:sz w:val="20"/>
              </w:rPr>
              <w:t xml:space="preserve">P: </w:t>
            </w:r>
            <w:r>
              <w:rPr>
                <w:color w:val="auto"/>
                <w:sz w:val="20"/>
              </w:rPr>
              <w:t>210, 233, 305+351+338</w:t>
            </w:r>
          </w:p>
        </w:tc>
      </w:tr>
      <w:tr w:rsidR="006A3BB1" w:rsidRPr="009C5E28" w:rsidTr="00CC1426">
        <w:tc>
          <w:tcPr>
            <w:tcW w:w="1009" w:type="dxa"/>
            <w:tcBorders>
              <w:top w:val="single" w:sz="8" w:space="0" w:color="4F81BD"/>
              <w:left w:val="single" w:sz="8" w:space="0" w:color="4F81BD"/>
              <w:bottom w:val="single" w:sz="8" w:space="0" w:color="4F81BD"/>
            </w:tcBorders>
            <w:shd w:val="clear" w:color="auto" w:fill="auto"/>
            <w:vAlign w:val="center"/>
          </w:tcPr>
          <w:p w:rsidR="006A3BB1" w:rsidRPr="009C5E28" w:rsidRDefault="006A3BB1" w:rsidP="00CC1426">
            <w:pPr>
              <w:spacing w:after="0"/>
              <w:jc w:val="center"/>
              <w:rPr>
                <w:b/>
                <w:bCs/>
              </w:rPr>
            </w:pPr>
            <w:r>
              <w:rPr>
                <w:b/>
                <w:noProof/>
                <w:lang w:eastAsia="de-DE"/>
              </w:rPr>
              <w:drawing>
                <wp:inline distT="0" distB="0" distL="0" distR="0">
                  <wp:extent cx="504190" cy="504190"/>
                  <wp:effectExtent l="19050" t="0" r="0" b="0"/>
                  <wp:docPr id="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3BB1" w:rsidRPr="009C5E28" w:rsidRDefault="006A3BB1" w:rsidP="00CC1426">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3BB1" w:rsidRPr="009C5E28" w:rsidRDefault="006A3BB1" w:rsidP="00CC1426">
            <w:pPr>
              <w:spacing w:after="0"/>
              <w:jc w:val="center"/>
            </w:pPr>
            <w:r>
              <w:rPr>
                <w:noProof/>
                <w:lang w:eastAsia="de-DE"/>
              </w:rPr>
              <w:drawing>
                <wp:inline distT="0" distB="0" distL="0" distR="0">
                  <wp:extent cx="504190" cy="504190"/>
                  <wp:effectExtent l="1905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3BB1" w:rsidRPr="009C5E28" w:rsidRDefault="006A3BB1" w:rsidP="00CC1426">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A3BB1" w:rsidRPr="009C5E28" w:rsidRDefault="006A3BB1" w:rsidP="00CC1426">
            <w:pPr>
              <w:spacing w:after="0"/>
              <w:jc w:val="center"/>
            </w:pPr>
            <w:r>
              <w:rPr>
                <w:noProof/>
                <w:lang w:eastAsia="de-DE"/>
              </w:rPr>
              <w:drawing>
                <wp:inline distT="0" distB="0" distL="0" distR="0">
                  <wp:extent cx="504190" cy="504190"/>
                  <wp:effectExtent l="0" t="0" r="0" b="0"/>
                  <wp:docPr id="2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A3BB1" w:rsidRPr="009C5E28" w:rsidRDefault="006A3BB1" w:rsidP="00CC1426">
            <w:pPr>
              <w:spacing w:after="0"/>
              <w:jc w:val="center"/>
            </w:pPr>
            <w:r>
              <w:rPr>
                <w:noProof/>
                <w:lang w:eastAsia="de-DE"/>
              </w:rPr>
              <w:drawing>
                <wp:inline distT="0" distB="0" distL="0" distR="0">
                  <wp:extent cx="504190" cy="504190"/>
                  <wp:effectExtent l="0" t="0" r="0" b="0"/>
                  <wp:docPr id="2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A3BB1" w:rsidRPr="009C5E28" w:rsidRDefault="006A3BB1" w:rsidP="00CC1426">
            <w:pPr>
              <w:spacing w:after="0"/>
              <w:jc w:val="center"/>
            </w:pPr>
            <w:r>
              <w:rPr>
                <w:noProof/>
                <w:lang w:eastAsia="de-DE"/>
              </w:rPr>
              <w:drawing>
                <wp:inline distT="0" distB="0" distL="0" distR="0">
                  <wp:extent cx="504190" cy="504190"/>
                  <wp:effectExtent l="0" t="0" r="0" b="0"/>
                  <wp:docPr id="2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3BB1" w:rsidRPr="009C5E28" w:rsidRDefault="006A3BB1" w:rsidP="00CC1426">
            <w:pPr>
              <w:spacing w:after="0"/>
              <w:jc w:val="center"/>
            </w:pPr>
            <w:r>
              <w:rPr>
                <w:noProof/>
                <w:lang w:eastAsia="de-DE"/>
              </w:rPr>
              <w:drawing>
                <wp:inline distT="0" distB="0" distL="0" distR="0">
                  <wp:extent cx="511175" cy="511175"/>
                  <wp:effectExtent l="0" t="0" r="0" b="0"/>
                  <wp:docPr id="2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A3BB1" w:rsidRPr="009C5E28" w:rsidRDefault="006A3BB1" w:rsidP="00CC1426">
            <w:pPr>
              <w:spacing w:after="0"/>
              <w:jc w:val="center"/>
            </w:pPr>
            <w:r>
              <w:rPr>
                <w:noProof/>
                <w:lang w:eastAsia="de-DE"/>
              </w:rPr>
              <w:drawing>
                <wp:inline distT="0" distB="0" distL="0" distR="0">
                  <wp:extent cx="504190" cy="504190"/>
                  <wp:effectExtent l="0" t="0" r="0" b="0"/>
                  <wp:docPr id="2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A3BB1" w:rsidRDefault="006A3BB1" w:rsidP="006A3BB1">
      <w:pPr>
        <w:tabs>
          <w:tab w:val="left" w:pos="1701"/>
          <w:tab w:val="left" w:pos="1985"/>
          <w:tab w:val="left" w:pos="7485"/>
        </w:tabs>
        <w:ind w:left="1980" w:hanging="1980"/>
      </w:pPr>
    </w:p>
    <w:p w:rsidR="006A3BB1" w:rsidRDefault="006A3BB1" w:rsidP="006A3BB1">
      <w:pPr>
        <w:tabs>
          <w:tab w:val="left" w:pos="1701"/>
          <w:tab w:val="left" w:pos="1985"/>
          <w:tab w:val="left" w:pos="7485"/>
        </w:tabs>
        <w:ind w:left="1980" w:hanging="1980"/>
      </w:pPr>
      <w:r>
        <w:t xml:space="preserve">Materialien: </w:t>
      </w:r>
      <w:r>
        <w:tab/>
      </w:r>
      <w:r>
        <w:tab/>
        <w:t xml:space="preserve">Platinspirale, Erlenmeyerkolben (500 </w:t>
      </w:r>
      <w:proofErr w:type="spellStart"/>
      <w:r>
        <w:t>mL</w:t>
      </w:r>
      <w:proofErr w:type="spellEnd"/>
      <w:r>
        <w:t>), Bunsenbrenner, Tiegelzange, Tondreieck</w:t>
      </w:r>
    </w:p>
    <w:p w:rsidR="006A3BB1" w:rsidRDefault="006A3BB1" w:rsidP="006A3BB1">
      <w:pPr>
        <w:tabs>
          <w:tab w:val="left" w:pos="1701"/>
          <w:tab w:val="left" w:pos="1985"/>
        </w:tabs>
        <w:ind w:left="1980" w:hanging="1980"/>
      </w:pPr>
      <w:r>
        <w:t>Chemikalien:</w:t>
      </w:r>
      <w:r>
        <w:tab/>
      </w:r>
      <w:r>
        <w:tab/>
        <w:t>Aceton</w:t>
      </w:r>
    </w:p>
    <w:p w:rsidR="006A3BB1" w:rsidRDefault="006A3BB1" w:rsidP="006A3BB1">
      <w:pPr>
        <w:tabs>
          <w:tab w:val="left" w:pos="1701"/>
          <w:tab w:val="left" w:pos="1985"/>
        </w:tabs>
        <w:ind w:left="1980" w:hanging="1980"/>
      </w:pPr>
      <w:r>
        <w:t xml:space="preserve">Durchführung:    Ein Erlenmeyerkolben wird etwa 5 mm hoch mit Aceton gefüllt. Die Platinspirale wird an einem Tondreieck befestigt und mit Hilfe einer Tiegelzange so lange in der </w:t>
      </w:r>
      <w:proofErr w:type="spellStart"/>
      <w:r>
        <w:t>Bunsenbrennerflamme</w:t>
      </w:r>
      <w:proofErr w:type="spellEnd"/>
      <w:r>
        <w:t xml:space="preserve"> erhitzt, bis der Draht zu Glühen beginnt. Danach wird der Draht so in den Erlenmeyerkolben gehalten, dass das Tondreieck auf der </w:t>
      </w:r>
      <w:proofErr w:type="spellStart"/>
      <w:r>
        <w:t>Erlenmeyerkolbenöffnung</w:t>
      </w:r>
      <w:proofErr w:type="spellEnd"/>
      <w:r>
        <w:t xml:space="preserve"> aufliegt und der Draht sich über dem Aceton befindet.</w:t>
      </w:r>
    </w:p>
    <w:p w:rsidR="006A3BB1" w:rsidRDefault="006A3BB1" w:rsidP="006A3BB1">
      <w:pPr>
        <w:tabs>
          <w:tab w:val="left" w:pos="1701"/>
          <w:tab w:val="left" w:pos="1985"/>
        </w:tabs>
        <w:ind w:left="1980" w:hanging="1980"/>
      </w:pPr>
      <w:r>
        <w:t>Beobachtung:</w:t>
      </w:r>
      <w:r>
        <w:tab/>
      </w:r>
      <w:r>
        <w:tab/>
        <w:t xml:space="preserve">Beim Erhitzen in der </w:t>
      </w:r>
      <w:proofErr w:type="spellStart"/>
      <w:r>
        <w:t>Bunsenbrennerflamme</w:t>
      </w:r>
      <w:proofErr w:type="spellEnd"/>
      <w:r>
        <w:t xml:space="preserve"> beginnt der Platindraht zu glühen. Das Glühen hört auf sobald der Draht aus der Flamme genommen wird. Wird der Draht in den Erlenmeyerkolben eingeführt glüht dieser in regelmäßigen Abständen immer wieder auf. Hin und wieder sind bläuliche Flammen zu beobachten.</w:t>
      </w:r>
    </w:p>
    <w:p w:rsidR="006A3BB1" w:rsidRDefault="006A3BB1" w:rsidP="006A3BB1">
      <w:pPr>
        <w:tabs>
          <w:tab w:val="left" w:pos="1701"/>
          <w:tab w:val="left" w:pos="1985"/>
        </w:tabs>
      </w:pPr>
    </w:p>
    <w:p w:rsidR="006A3BB1" w:rsidRDefault="006A3BB1" w:rsidP="006A3BB1">
      <w:pPr>
        <w:tabs>
          <w:tab w:val="left" w:pos="1701"/>
          <w:tab w:val="left" w:pos="1985"/>
        </w:tabs>
        <w:ind w:left="1980" w:hanging="1980"/>
      </w:pPr>
    </w:p>
    <w:p w:rsidR="006A3BB1" w:rsidRDefault="006A3BB1" w:rsidP="006A3BB1">
      <w:pPr>
        <w:tabs>
          <w:tab w:val="left" w:pos="1701"/>
          <w:tab w:val="left" w:pos="1985"/>
        </w:tabs>
        <w:ind w:left="1985" w:hanging="1985"/>
      </w:pPr>
    </w:p>
    <w:p w:rsidR="006A3BB1" w:rsidRDefault="006A3BB1" w:rsidP="006A3BB1">
      <w:pPr>
        <w:tabs>
          <w:tab w:val="left" w:pos="1701"/>
          <w:tab w:val="left" w:pos="1985"/>
        </w:tabs>
        <w:ind w:left="1985" w:hanging="1985"/>
      </w:pPr>
      <w:r>
        <w:rPr>
          <w:noProof/>
          <w:lang w:eastAsia="de-DE"/>
        </w:rPr>
        <w:lastRenderedPageBreak/>
        <w:drawing>
          <wp:anchor distT="0" distB="0" distL="114300" distR="114300" simplePos="0" relativeHeight="251662336" behindDoc="1" locked="0" layoutInCell="1" allowOverlap="1">
            <wp:simplePos x="0" y="0"/>
            <wp:positionH relativeFrom="column">
              <wp:posOffset>1578610</wp:posOffset>
            </wp:positionH>
            <wp:positionV relativeFrom="paragraph">
              <wp:posOffset>248285</wp:posOffset>
            </wp:positionV>
            <wp:extent cx="1670685" cy="1205865"/>
            <wp:effectExtent l="0" t="228600" r="0" b="222885"/>
            <wp:wrapTight wrapText="bothSides">
              <wp:wrapPolygon edited="0">
                <wp:start x="49" y="22009"/>
                <wp:lineTo x="21477" y="22009"/>
                <wp:lineTo x="21477" y="-171"/>
                <wp:lineTo x="49" y="-171"/>
                <wp:lineTo x="49" y="22009"/>
              </wp:wrapPolygon>
            </wp:wrapTight>
            <wp:docPr id="1" name="Grafik 0" descr="IMG_8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34.JPG"/>
                    <pic:cNvPicPr/>
                  </pic:nvPicPr>
                  <pic:blipFill>
                    <a:blip r:embed="rId14" cstate="print"/>
                    <a:stretch>
                      <a:fillRect/>
                    </a:stretch>
                  </pic:blipFill>
                  <pic:spPr>
                    <a:xfrm rot="5400000">
                      <a:off x="0" y="0"/>
                      <a:ext cx="1670685" cy="1205865"/>
                    </a:xfrm>
                    <a:prstGeom prst="rect">
                      <a:avLst/>
                    </a:prstGeom>
                  </pic:spPr>
                </pic:pic>
              </a:graphicData>
            </a:graphic>
          </wp:anchor>
        </w:drawing>
      </w:r>
      <w:r>
        <w:rPr>
          <w:noProof/>
          <w:lang w:eastAsia="de-DE"/>
        </w:rPr>
        <w:drawing>
          <wp:anchor distT="0" distB="0" distL="114300" distR="114300" simplePos="0" relativeHeight="251663360" behindDoc="1" locked="0" layoutInCell="1" allowOverlap="1">
            <wp:simplePos x="0" y="0"/>
            <wp:positionH relativeFrom="column">
              <wp:posOffset>3526790</wp:posOffset>
            </wp:positionH>
            <wp:positionV relativeFrom="paragraph">
              <wp:posOffset>198120</wp:posOffset>
            </wp:positionV>
            <wp:extent cx="1670685" cy="1276350"/>
            <wp:effectExtent l="0" t="190500" r="0" b="171450"/>
            <wp:wrapTight wrapText="bothSides">
              <wp:wrapPolygon edited="0">
                <wp:start x="86" y="22035"/>
                <wp:lineTo x="21268" y="22035"/>
                <wp:lineTo x="21268" y="113"/>
                <wp:lineTo x="86" y="113"/>
                <wp:lineTo x="86" y="22035"/>
              </wp:wrapPolygon>
            </wp:wrapTight>
            <wp:docPr id="2" name="Grafik 1" descr="IMG_8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40.JPG"/>
                    <pic:cNvPicPr/>
                  </pic:nvPicPr>
                  <pic:blipFill>
                    <a:blip r:embed="rId15" cstate="print"/>
                    <a:stretch>
                      <a:fillRect/>
                    </a:stretch>
                  </pic:blipFill>
                  <pic:spPr>
                    <a:xfrm rot="5400000">
                      <a:off x="0" y="0"/>
                      <a:ext cx="1670685" cy="1276350"/>
                    </a:xfrm>
                    <a:prstGeom prst="rect">
                      <a:avLst/>
                    </a:prstGeom>
                  </pic:spPr>
                </pic:pic>
              </a:graphicData>
            </a:graphic>
          </wp:anchor>
        </w:drawing>
      </w:r>
    </w:p>
    <w:p w:rsidR="006A3BB1" w:rsidRDefault="006A3BB1" w:rsidP="006A3BB1">
      <w:pPr>
        <w:tabs>
          <w:tab w:val="left" w:pos="1701"/>
          <w:tab w:val="left" w:pos="1985"/>
        </w:tabs>
        <w:ind w:left="1985" w:hanging="1985"/>
      </w:pPr>
    </w:p>
    <w:p w:rsidR="006A3BB1" w:rsidRDefault="006A3BB1" w:rsidP="006A3BB1">
      <w:pPr>
        <w:tabs>
          <w:tab w:val="left" w:pos="1701"/>
          <w:tab w:val="left" w:pos="1985"/>
        </w:tabs>
        <w:ind w:left="1985" w:hanging="1985"/>
      </w:pPr>
    </w:p>
    <w:p w:rsidR="006A3BB1" w:rsidRDefault="006A3BB1" w:rsidP="006A3BB1">
      <w:pPr>
        <w:tabs>
          <w:tab w:val="left" w:pos="1701"/>
          <w:tab w:val="left" w:pos="1985"/>
        </w:tabs>
        <w:ind w:left="1985" w:hanging="1985"/>
      </w:pPr>
    </w:p>
    <w:p w:rsidR="006A3BB1" w:rsidRDefault="006A3BB1" w:rsidP="006A3BB1">
      <w:pPr>
        <w:tabs>
          <w:tab w:val="left" w:pos="1701"/>
          <w:tab w:val="left" w:pos="1985"/>
        </w:tabs>
        <w:ind w:left="1985" w:hanging="1985"/>
      </w:pPr>
    </w:p>
    <w:p w:rsidR="006A3BB1" w:rsidRDefault="006A3BB1" w:rsidP="006A3BB1">
      <w:pPr>
        <w:tabs>
          <w:tab w:val="left" w:pos="1701"/>
          <w:tab w:val="left" w:pos="1985"/>
        </w:tabs>
        <w:ind w:left="1985" w:hanging="1985"/>
      </w:pPr>
      <w:r>
        <w:rPr>
          <w:noProof/>
          <w:lang w:eastAsia="de-DE"/>
        </w:rPr>
        <w:pict>
          <v:shape id="_x0000_s1028" type="#_x0000_t202" style="position:absolute;left:0;text-align:left;margin-left:90.2pt;margin-top:3.35pt;width:377.55pt;height:37.65pt;z-index:251664384" strokecolor="white [3212]">
            <v:textbox>
              <w:txbxContent>
                <w:p w:rsidR="006A3BB1" w:rsidRPr="00541C82" w:rsidRDefault="006A3BB1" w:rsidP="006A3BB1">
                  <w:pPr>
                    <w:rPr>
                      <w:b/>
                      <w:sz w:val="20"/>
                      <w:szCs w:val="20"/>
                    </w:rPr>
                  </w:pPr>
                  <w:r w:rsidRPr="00541C82">
                    <w:rPr>
                      <w:b/>
                      <w:sz w:val="20"/>
                      <w:szCs w:val="20"/>
                    </w:rPr>
                    <w:t>A</w:t>
                  </w:r>
                  <w:r>
                    <w:rPr>
                      <w:b/>
                      <w:sz w:val="20"/>
                      <w:szCs w:val="20"/>
                    </w:rPr>
                    <w:t>bbildung 1:</w:t>
                  </w:r>
                  <w:r w:rsidRPr="00541C82">
                    <w:rPr>
                      <w:b/>
                      <w:sz w:val="20"/>
                      <w:szCs w:val="20"/>
                    </w:rPr>
                    <w:t xml:space="preserve"> Glühender Platindraht ohne Flamme</w:t>
                  </w:r>
                  <w:r>
                    <w:rPr>
                      <w:b/>
                      <w:sz w:val="20"/>
                      <w:szCs w:val="20"/>
                    </w:rPr>
                    <w:t xml:space="preserve"> </w:t>
                  </w:r>
                  <w:r w:rsidRPr="00541C82">
                    <w:rPr>
                      <w:b/>
                      <w:sz w:val="20"/>
                      <w:szCs w:val="20"/>
                    </w:rPr>
                    <w:t>(links), glühender Platindraht mit Flamme (rechts)</w:t>
                  </w:r>
                </w:p>
              </w:txbxContent>
            </v:textbox>
          </v:shape>
        </w:pict>
      </w:r>
    </w:p>
    <w:p w:rsidR="006A3BB1" w:rsidRDefault="006A3BB1" w:rsidP="006A3BB1">
      <w:pPr>
        <w:tabs>
          <w:tab w:val="left" w:pos="1701"/>
          <w:tab w:val="left" w:pos="1985"/>
        </w:tabs>
        <w:ind w:left="1985" w:hanging="1985"/>
      </w:pPr>
    </w:p>
    <w:p w:rsidR="006A3BB1" w:rsidRDefault="006A3BB1" w:rsidP="006A3BB1">
      <w:pPr>
        <w:tabs>
          <w:tab w:val="left" w:pos="1701"/>
          <w:tab w:val="left" w:pos="1985"/>
        </w:tabs>
        <w:ind w:left="1985" w:hanging="1985"/>
      </w:pPr>
      <w:r>
        <w:t xml:space="preserve">Deutung:            </w:t>
      </w:r>
      <w:r>
        <w:tab/>
      </w:r>
      <w:r>
        <w:tab/>
        <w:t>Das Aceton wird bei vollständiger Verbrennung zu Kohlenstoffdioxid und Wasser oxidiert. Die Oxidation läuft als heterogene Katalyse am Platindraht ab. Durch die frei werdende Energie (Wärme) glüht der Draht immer wieder auf. Wird der Flammpunkt durch das Glühen des Platindrahts von Aceton überschritten, entzündet sich das gasförmige Aceton über der Flüssigphase.</w:t>
      </w:r>
    </w:p>
    <w:p w:rsidR="006A3BB1" w:rsidRDefault="006A3BB1" w:rsidP="006A3BB1">
      <w:pPr>
        <w:tabs>
          <w:tab w:val="left" w:pos="1701"/>
          <w:tab w:val="left" w:pos="1985"/>
        </w:tabs>
        <w:ind w:left="1985" w:hanging="1985"/>
        <w:rPr>
          <w:sz w:val="24"/>
          <w:szCs w:val="24"/>
        </w:rPr>
      </w:pPr>
      <w:r w:rsidRPr="00B73589">
        <w:t xml:space="preserve">                                                                     </w:t>
      </w:r>
      <w:r w:rsidRPr="00B73589">
        <w:rPr>
          <w:sz w:val="24"/>
          <w:szCs w:val="24"/>
        </w:rPr>
        <w:t>C</w:t>
      </w:r>
      <w:r w:rsidRPr="00B73589">
        <w:rPr>
          <w:sz w:val="24"/>
          <w:szCs w:val="24"/>
          <w:vertAlign w:val="subscript"/>
        </w:rPr>
        <w:t>3</w:t>
      </w:r>
      <w:r w:rsidRPr="00B73589">
        <w:rPr>
          <w:sz w:val="24"/>
          <w:szCs w:val="24"/>
        </w:rPr>
        <w:t>H</w:t>
      </w:r>
      <w:r w:rsidRPr="00B73589">
        <w:rPr>
          <w:sz w:val="24"/>
          <w:szCs w:val="24"/>
          <w:vertAlign w:val="subscript"/>
        </w:rPr>
        <w:t>6</w:t>
      </w:r>
      <w:r w:rsidRPr="00B73589">
        <w:rPr>
          <w:sz w:val="24"/>
          <w:szCs w:val="24"/>
        </w:rPr>
        <w:t>O</w:t>
      </w:r>
      <w:r w:rsidRPr="00B73589">
        <w:rPr>
          <w:sz w:val="24"/>
          <w:szCs w:val="24"/>
          <w:vertAlign w:val="subscript"/>
        </w:rPr>
        <w:t xml:space="preserve">(l) </w:t>
      </w:r>
      <w:r w:rsidRPr="00B73589">
        <w:rPr>
          <w:sz w:val="24"/>
          <w:szCs w:val="24"/>
        </w:rPr>
        <w:t>+ 4O</w:t>
      </w:r>
      <w:r w:rsidRPr="00B73589">
        <w:rPr>
          <w:sz w:val="24"/>
          <w:szCs w:val="24"/>
          <w:vertAlign w:val="subscript"/>
        </w:rPr>
        <w:t>2(g)</w:t>
      </w:r>
      <w:r w:rsidRPr="005A2BE3">
        <w:rPr>
          <w:sz w:val="24"/>
          <w:szCs w:val="24"/>
        </w:rPr>
        <w:sym w:font="Wingdings" w:char="F0E0"/>
      </w:r>
      <w:r w:rsidRPr="00B73589">
        <w:rPr>
          <w:sz w:val="24"/>
          <w:szCs w:val="24"/>
        </w:rPr>
        <w:t xml:space="preserve"> 3CO</w:t>
      </w:r>
      <w:r w:rsidRPr="00B73589">
        <w:rPr>
          <w:sz w:val="24"/>
          <w:szCs w:val="24"/>
          <w:vertAlign w:val="subscript"/>
        </w:rPr>
        <w:t xml:space="preserve">2(g) </w:t>
      </w:r>
      <w:r w:rsidRPr="00B73589">
        <w:rPr>
          <w:sz w:val="24"/>
          <w:szCs w:val="24"/>
        </w:rPr>
        <w:t>+ 3H</w:t>
      </w:r>
      <w:r w:rsidRPr="00B73589">
        <w:rPr>
          <w:sz w:val="24"/>
          <w:szCs w:val="24"/>
          <w:vertAlign w:val="subscript"/>
        </w:rPr>
        <w:t>2</w:t>
      </w:r>
      <w:r w:rsidRPr="00B73589">
        <w:rPr>
          <w:sz w:val="24"/>
          <w:szCs w:val="24"/>
        </w:rPr>
        <w:t>O</w:t>
      </w:r>
      <w:r w:rsidRPr="00B73589">
        <w:rPr>
          <w:sz w:val="24"/>
          <w:szCs w:val="24"/>
          <w:vertAlign w:val="subscript"/>
        </w:rPr>
        <w:t xml:space="preserve">(l)     </w:t>
      </w:r>
      <w:r w:rsidRPr="00B73589">
        <w:rPr>
          <w:sz w:val="24"/>
          <w:szCs w:val="24"/>
        </w:rPr>
        <w:tab/>
      </w:r>
      <w:r w:rsidRPr="00B73589">
        <w:rPr>
          <w:sz w:val="24"/>
          <w:szCs w:val="24"/>
        </w:rPr>
        <w:tab/>
      </w:r>
    </w:p>
    <w:p w:rsidR="006A3BB1" w:rsidRPr="00B73589" w:rsidRDefault="006A3BB1" w:rsidP="006A3BB1">
      <w:pPr>
        <w:tabs>
          <w:tab w:val="left" w:pos="1701"/>
          <w:tab w:val="left" w:pos="1985"/>
        </w:tabs>
        <w:ind w:left="1985" w:hanging="1985"/>
        <w:rPr>
          <w:sz w:val="24"/>
          <w:szCs w:val="24"/>
        </w:rPr>
      </w:pPr>
      <w:r>
        <w:rPr>
          <w:sz w:val="24"/>
          <w:szCs w:val="24"/>
        </w:rPr>
        <w:tab/>
      </w:r>
      <w:r>
        <w:rPr>
          <w:sz w:val="24"/>
          <w:szCs w:val="24"/>
        </w:rPr>
        <w:tab/>
        <w:t>Durch die Verbrennung des Acetons wird der Luftsauerstoff im Erlenmeyerkolben verbraucht, so dass die Flamme nach kurzer Zeit erlischt und nur noch der Platindraht glüht.</w:t>
      </w:r>
    </w:p>
    <w:p w:rsidR="006A3BB1" w:rsidRPr="00BB70AA" w:rsidRDefault="006A3BB1" w:rsidP="006A3BB1">
      <w:pPr>
        <w:ind w:left="1985" w:hanging="1985"/>
        <w:rPr>
          <w:sz w:val="24"/>
          <w:szCs w:val="24"/>
        </w:rPr>
      </w:pPr>
      <w:r w:rsidRPr="00BB70AA">
        <w:rPr>
          <w:sz w:val="24"/>
          <w:szCs w:val="24"/>
        </w:rPr>
        <w:t>Entsorgung:</w:t>
      </w:r>
      <w:r w:rsidRPr="00BB70AA">
        <w:rPr>
          <w:sz w:val="24"/>
          <w:szCs w:val="24"/>
        </w:rPr>
        <w:tab/>
        <w:t>Das verbleibende Aceton und der Platindraht können wiederverwendet  werden.</w:t>
      </w:r>
    </w:p>
    <w:p w:rsidR="006A3BB1" w:rsidRPr="00BB70AA" w:rsidRDefault="006A3BB1" w:rsidP="006A3BB1">
      <w:pPr>
        <w:ind w:left="1950" w:hanging="1950"/>
        <w:rPr>
          <w:sz w:val="24"/>
          <w:szCs w:val="24"/>
        </w:rPr>
      </w:pPr>
      <w:r w:rsidRPr="00BB70AA">
        <w:rPr>
          <w:sz w:val="24"/>
          <w:szCs w:val="24"/>
        </w:rPr>
        <w:t>Literatur:</w:t>
      </w:r>
      <w:r w:rsidRPr="00BB70AA">
        <w:rPr>
          <w:sz w:val="24"/>
          <w:szCs w:val="24"/>
        </w:rPr>
        <w:tab/>
        <w:t xml:space="preserve">In Anlehnung an H. Schmidkunz, </w:t>
      </w:r>
      <w:r w:rsidRPr="00BB70AA">
        <w:rPr>
          <w:i/>
          <w:sz w:val="24"/>
          <w:szCs w:val="24"/>
        </w:rPr>
        <w:t>Ch</w:t>
      </w:r>
      <w:r>
        <w:rPr>
          <w:i/>
          <w:sz w:val="24"/>
          <w:szCs w:val="24"/>
        </w:rPr>
        <w:t>emische Freihandversuche – Band </w:t>
      </w:r>
      <w:r w:rsidRPr="00BB70AA">
        <w:rPr>
          <w:i/>
          <w:sz w:val="24"/>
          <w:szCs w:val="24"/>
        </w:rPr>
        <w:t>1</w:t>
      </w:r>
      <w:r w:rsidRPr="00BB70AA">
        <w:rPr>
          <w:sz w:val="24"/>
          <w:szCs w:val="24"/>
        </w:rPr>
        <w:t xml:space="preserve">; </w:t>
      </w:r>
      <w:proofErr w:type="spellStart"/>
      <w:r w:rsidRPr="00BB70AA">
        <w:rPr>
          <w:sz w:val="24"/>
          <w:szCs w:val="24"/>
        </w:rPr>
        <w:t>Aulis</w:t>
      </w:r>
      <w:proofErr w:type="spellEnd"/>
      <w:r w:rsidRPr="00BB70AA">
        <w:rPr>
          <w:sz w:val="24"/>
          <w:szCs w:val="24"/>
        </w:rPr>
        <w:t xml:space="preserve">, 2011; S.119.            </w:t>
      </w:r>
    </w:p>
    <w:p w:rsidR="006A3BB1" w:rsidRDefault="006A3BB1" w:rsidP="006A3BB1">
      <w:pPr>
        <w:autoSpaceDE w:val="0"/>
        <w:autoSpaceDN w:val="0"/>
        <w:adjustRightInd w:val="0"/>
        <w:spacing w:after="0" w:line="240" w:lineRule="auto"/>
        <w:jc w:val="left"/>
        <w:rPr>
          <w:rFonts w:eastAsiaTheme="minorHAnsi" w:cs="Cambria"/>
        </w:rPr>
      </w:pPr>
      <w:r w:rsidRPr="009877F8">
        <w:rPr>
          <w:noProof/>
          <w:lang w:eastAsia="de-DE"/>
        </w:rPr>
        <w:pict>
          <v:shape id="_x0000_s1026" type="#_x0000_t202" style="position:absolute;margin-left:.3pt;margin-top:10.1pt;width:462.45pt;height:121.2pt;z-index:-251656192;visibility:visible" wrapcoords="-35 -129 -35 21471 21635 21471 21635 -129 -35 -129" fillcolor="white [3201]" strokecolor="#c0504d [3205]" strokeweight="1pt">
            <v:stroke dashstyle="dash"/>
            <v:shadow color="#868686"/>
            <v:textbox style="mso-next-textbox:#_x0000_s1026">
              <w:txbxContent>
                <w:p w:rsidR="006A3BB1" w:rsidRPr="00792071" w:rsidRDefault="006A3BB1" w:rsidP="006A3BB1">
                  <w:pPr>
                    <w:rPr>
                      <w:color w:val="auto"/>
                    </w:rPr>
                  </w:pPr>
                  <w:r>
                    <w:rPr>
                      <w:color w:val="auto"/>
                    </w:rPr>
                    <w:t xml:space="preserve">Der Versuch wirkt beeindruckender, wenn der Raum dazu etwas abgedunkelt wird. Das Glühen des Platindrahts und eventuelle Flammen sind so besser zu erkennen. Der Versuch zeigt, dass der Katalysator (hier die Platinspirale) bei einer Reaktion nicht verbraucht wird. Die genauen chemischen Abläufe sollten jedoch für die </w:t>
                  </w:r>
                  <w:proofErr w:type="spellStart"/>
                  <w:r>
                    <w:rPr>
                      <w:color w:val="auto"/>
                    </w:rPr>
                    <w:t>SuS</w:t>
                  </w:r>
                  <w:proofErr w:type="spellEnd"/>
                  <w:r>
                    <w:rPr>
                      <w:color w:val="auto"/>
                    </w:rPr>
                    <w:t xml:space="preserve"> der 7. und 8. Jahrgangsstufe didaktisch reduziert werden, da die Oxidation von einer organischen Substanz wie Aceton mit dem Wissen in dieser Klassenstufe noch nicht zu erklären ist.</w:t>
                  </w:r>
                </w:p>
              </w:txbxContent>
            </v:textbox>
            <w10:wrap type="tight"/>
          </v:shape>
        </w:pict>
      </w:r>
      <w:r>
        <w:rPr>
          <w:rFonts w:eastAsiaTheme="minorHAnsi" w:cs="Cambria"/>
        </w:rPr>
        <w:t xml:space="preserve">                    </w:t>
      </w:r>
    </w:p>
    <w:p w:rsidR="006A3BB1" w:rsidRDefault="006A3BB1" w:rsidP="006A3BB1">
      <w:pPr>
        <w:autoSpaceDE w:val="0"/>
        <w:autoSpaceDN w:val="0"/>
        <w:adjustRightInd w:val="0"/>
        <w:spacing w:after="0" w:line="240" w:lineRule="auto"/>
        <w:jc w:val="left"/>
        <w:rPr>
          <w:rFonts w:eastAsiaTheme="minorHAnsi" w:cs="Cambria"/>
        </w:rPr>
      </w:pPr>
    </w:p>
    <w:sectPr w:rsidR="006A3BB1"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6A3BB1"/>
    <w:rsid w:val="000D0D64"/>
    <w:rsid w:val="00394050"/>
    <w:rsid w:val="00503F1E"/>
    <w:rsid w:val="005775BC"/>
    <w:rsid w:val="00604884"/>
    <w:rsid w:val="006A3BB1"/>
    <w:rsid w:val="00AF14F4"/>
    <w:rsid w:val="00E90F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3BB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6A3BB1"/>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6A3BB1"/>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6A3BB1"/>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6A3BB1"/>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6A3BB1"/>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6A3BB1"/>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6A3BB1"/>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6A3BB1"/>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6A3BB1"/>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3BB1"/>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6A3BB1"/>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6A3BB1"/>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6A3BB1"/>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6A3BB1"/>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6A3BB1"/>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6A3BB1"/>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6A3BB1"/>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6A3BB1"/>
    <w:rPr>
      <w:rFonts w:ascii="Cambria" w:eastAsia="Times New Roman" w:hAnsi="Cambria" w:cs="Times New Roman"/>
      <w:i/>
      <w:iCs/>
      <w:color w:val="404040"/>
      <w:sz w:val="20"/>
      <w:szCs w:val="20"/>
    </w:rPr>
  </w:style>
  <w:style w:type="paragraph" w:styleId="Sprechblasentext">
    <w:name w:val="Balloon Text"/>
    <w:basedOn w:val="Standard"/>
    <w:link w:val="SprechblasentextZchn"/>
    <w:uiPriority w:val="99"/>
    <w:semiHidden/>
    <w:unhideWhenUsed/>
    <w:rsid w:val="006A3B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3BB1"/>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1630</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2015-08-22T05:37:00Z</dcterms:created>
  <dcterms:modified xsi:type="dcterms:W3CDTF">2015-08-22T05:38:00Z</dcterms:modified>
</cp:coreProperties>
</file>