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2F778D" w:rsidP="00F31EBF">
      <w:pPr>
        <w:spacing w:line="276" w:lineRule="auto"/>
      </w:pPr>
      <w:r>
        <w:t>Dennis Roggenkämper</w:t>
      </w:r>
    </w:p>
    <w:p w:rsidR="00954DC8" w:rsidRDefault="002F778D" w:rsidP="00F31EBF">
      <w:pPr>
        <w:spacing w:line="276" w:lineRule="auto"/>
      </w:pPr>
      <w:r>
        <w:t>Sommersemester 2015</w:t>
      </w:r>
    </w:p>
    <w:p w:rsidR="00954DC8" w:rsidRDefault="00954DC8" w:rsidP="00F31EBF">
      <w:pPr>
        <w:spacing w:line="276" w:lineRule="auto"/>
      </w:pPr>
      <w:r>
        <w:t xml:space="preserve">Klassenstufen </w:t>
      </w:r>
      <w:r w:rsidR="00C502DB">
        <w:t>7</w:t>
      </w:r>
      <w:r w:rsidR="0007729E">
        <w:t xml:space="preserve"> &amp; </w:t>
      </w:r>
      <w:r w:rsidR="00C502DB">
        <w:t>8</w:t>
      </w:r>
    </w:p>
    <w:p w:rsidR="008B7FD6" w:rsidRDefault="008B7FD6" w:rsidP="00954DC8"/>
    <w:p w:rsidR="00736B14" w:rsidRDefault="00736B14" w:rsidP="00954DC8"/>
    <w:p w:rsidR="00736B14" w:rsidRDefault="00736B14" w:rsidP="00954DC8"/>
    <w:p w:rsidR="00736B14" w:rsidRDefault="00736B14" w:rsidP="008B7FD6">
      <w:pPr>
        <w:rPr>
          <w:noProof/>
          <w:lang w:eastAsia="de-DE"/>
        </w:rPr>
      </w:pPr>
    </w:p>
    <w:p w:rsidR="00C502DB" w:rsidRDefault="00C502DB" w:rsidP="00736B14">
      <w:pPr>
        <w:jc w:val="center"/>
        <w:rPr>
          <w:noProof/>
          <w:lang w:eastAsia="de-DE"/>
        </w:rPr>
      </w:pPr>
    </w:p>
    <w:p w:rsidR="00C502DB" w:rsidRDefault="00C502DB" w:rsidP="00736B14">
      <w:pPr>
        <w:jc w:val="center"/>
        <w:rPr>
          <w:noProof/>
          <w:lang w:eastAsia="de-DE"/>
        </w:rPr>
      </w:pPr>
    </w:p>
    <w:p w:rsidR="008B7FD6" w:rsidRDefault="00E323B8" w:rsidP="00736B14">
      <w:pPr>
        <w:jc w:val="center"/>
        <w:rPr>
          <w:rFonts w:ascii="Times New Roman" w:hAnsi="Times New Roman" w:cs="Times New Roman"/>
          <w:sz w:val="52"/>
          <w:szCs w:val="24"/>
        </w:rPr>
      </w:pPr>
      <w:r w:rsidRPr="00E323B8"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7" type="#_x0000_t32" style="position:absolute;left:0;text-align:left;margin-left:0;margin-top:273.45pt;width:426.75pt;height:0;z-index:251815936;mso-position-horizontal:center;mso-position-horizontal-relative:margin" o:connectortype="straight">
            <w10:wrap anchorx="margin"/>
          </v:shape>
        </w:pict>
      </w:r>
      <w:r w:rsidR="00736B14">
        <w:rPr>
          <w:noProof/>
          <w:lang w:eastAsia="de-DE"/>
        </w:rPr>
        <w:drawing>
          <wp:inline distT="0" distB="0" distL="0" distR="0">
            <wp:extent cx="4044369" cy="3240000"/>
            <wp:effectExtent l="19050" t="0" r="0" b="0"/>
            <wp:docPr id="110" name="Bild 10" descr="C:\Users\Dennis Roggenkämper\AppData\Local\Microsoft\Windows\Temporary Internet Files\Content.Word\IMG_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nnis Roggenkämper\AppData\Local\Microsoft\Windows\Temporary Internet Files\Content.Word\IMG_22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69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84E" w:rsidRPr="00984EF9" w:rsidRDefault="00C502DB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Fällungsreaktionen und Fotografie</w:t>
      </w:r>
    </w:p>
    <w:p w:rsidR="002F778D" w:rsidRDefault="00E323B8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2F778D" w:rsidRDefault="002F778D">
      <w:pPr>
        <w:spacing w:line="276" w:lineRule="auto"/>
        <w:jc w:val="left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br w:type="page"/>
      </w:r>
    </w:p>
    <w:p w:rsidR="00A90BD6" w:rsidRDefault="00E323B8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77.25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3E687E" w:rsidRDefault="003E687E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3E687E" w:rsidRPr="00F31EBF" w:rsidRDefault="003E687E" w:rsidP="004944F3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 xml:space="preserve">Das Kurzprotokoll umfasst </w:t>
                  </w:r>
                  <w:r w:rsidR="004E2773">
                    <w:rPr>
                      <w:rFonts w:asciiTheme="majorHAnsi" w:hAnsiTheme="majorHAnsi"/>
                      <w:color w:val="auto"/>
                    </w:rPr>
                    <w:t>drei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Lehrer- und </w:t>
                  </w:r>
                  <w:r w:rsidR="004E2773">
                    <w:rPr>
                      <w:rFonts w:asciiTheme="majorHAnsi" w:hAnsiTheme="majorHAnsi"/>
                      <w:color w:val="auto"/>
                    </w:rPr>
                    <w:t>ein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Schülerex</w:t>
                  </w:r>
                  <w:r w:rsidR="004E2773">
                    <w:rPr>
                      <w:rFonts w:asciiTheme="majorHAnsi" w:hAnsiTheme="majorHAnsi"/>
                      <w:color w:val="auto"/>
                    </w:rPr>
                    <w:t>perimente, die geeignet sind um die Fällung von schwerlöslichen Stoffen zu demonstrieren.</w:t>
                  </w:r>
                </w:p>
              </w:txbxContent>
            </v:textbox>
          </v:shape>
        </w:pict>
      </w:r>
    </w:p>
    <w:p w:rsidR="00A90BD6" w:rsidRDefault="00A90BD6" w:rsidP="00A90BD6"/>
    <w:p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 w:rsidP="009D26DA">
          <w:pPr>
            <w:pStyle w:val="Inhaltsverzeichnisberschrift"/>
            <w:spacing w:line="360" w:lineRule="auto"/>
          </w:pPr>
          <w:r w:rsidRPr="00E26180">
            <w:rPr>
              <w:color w:val="auto"/>
            </w:rPr>
            <w:t>Inhalt</w:t>
          </w:r>
        </w:p>
        <w:p w:rsidR="004E2773" w:rsidRDefault="00E323B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6466374" w:history="1">
            <w:r w:rsidR="004E2773" w:rsidRPr="008A7216">
              <w:rPr>
                <w:rStyle w:val="Hyperlink"/>
                <w:noProof/>
              </w:rPr>
              <w:t>1</w:t>
            </w:r>
            <w:r w:rsidR="004E2773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4E2773" w:rsidRPr="008A7216">
              <w:rPr>
                <w:rStyle w:val="Hyperlink"/>
                <w:noProof/>
              </w:rPr>
              <w:t>Weitere Lehrerversuche</w:t>
            </w:r>
            <w:r w:rsidR="004E27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E2773">
              <w:rPr>
                <w:noProof/>
                <w:webHidden/>
              </w:rPr>
              <w:instrText xml:space="preserve"> PAGEREF _Toc426466374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26A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773" w:rsidRDefault="00E323B8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466375" w:history="1">
            <w:r w:rsidR="004E2773" w:rsidRPr="008A7216">
              <w:rPr>
                <w:rStyle w:val="Hyperlink"/>
                <w:noProof/>
              </w:rPr>
              <w:t>1.1</w:t>
            </w:r>
            <w:r w:rsidR="004E2773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4E2773" w:rsidRPr="008A7216">
              <w:rPr>
                <w:rStyle w:val="Hyperlink"/>
                <w:noProof/>
              </w:rPr>
              <w:t>V1 – Ausfällen von Iod</w:t>
            </w:r>
            <w:r w:rsidR="004E27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E2773">
              <w:rPr>
                <w:noProof/>
                <w:webHidden/>
              </w:rPr>
              <w:instrText xml:space="preserve"> PAGEREF _Toc426466375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26A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773" w:rsidRDefault="00E323B8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466376" w:history="1">
            <w:r w:rsidR="004E2773" w:rsidRPr="008A7216">
              <w:rPr>
                <w:rStyle w:val="Hyperlink"/>
                <w:noProof/>
              </w:rPr>
              <w:t>1.2</w:t>
            </w:r>
            <w:r w:rsidR="004E2773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4E2773" w:rsidRPr="008A7216">
              <w:rPr>
                <w:rStyle w:val="Hyperlink"/>
                <w:noProof/>
              </w:rPr>
              <w:t>V2 – Spaltung von Silberhalogeniden mit Licht</w:t>
            </w:r>
            <w:r w:rsidR="004E27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E2773">
              <w:rPr>
                <w:noProof/>
                <w:webHidden/>
              </w:rPr>
              <w:instrText xml:space="preserve"> PAGEREF _Toc426466376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26A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773" w:rsidRDefault="00E323B8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466377" w:history="1">
            <w:r w:rsidR="004E2773" w:rsidRPr="008A7216">
              <w:rPr>
                <w:rStyle w:val="Hyperlink"/>
                <w:noProof/>
              </w:rPr>
              <w:t>1.3</w:t>
            </w:r>
            <w:r w:rsidR="004E2773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4E2773" w:rsidRPr="008A7216">
              <w:rPr>
                <w:rStyle w:val="Hyperlink"/>
                <w:noProof/>
              </w:rPr>
              <w:t>V3 – Tollens-Probe</w:t>
            </w:r>
            <w:r w:rsidR="004E27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E2773">
              <w:rPr>
                <w:noProof/>
                <w:webHidden/>
              </w:rPr>
              <w:instrText xml:space="preserve"> PAGEREF _Toc426466377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26A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773" w:rsidRDefault="00E323B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466378" w:history="1">
            <w:r w:rsidR="004E2773" w:rsidRPr="008A7216">
              <w:rPr>
                <w:rStyle w:val="Hyperlink"/>
                <w:noProof/>
              </w:rPr>
              <w:t>2</w:t>
            </w:r>
            <w:r w:rsidR="004E2773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4E2773" w:rsidRPr="008A7216">
              <w:rPr>
                <w:rStyle w:val="Hyperlink"/>
                <w:noProof/>
              </w:rPr>
              <w:t>Weitere Schülerversuche</w:t>
            </w:r>
            <w:r w:rsidR="004E27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E2773">
              <w:rPr>
                <w:noProof/>
                <w:webHidden/>
              </w:rPr>
              <w:instrText xml:space="preserve"> PAGEREF _Toc426466378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26A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773" w:rsidRDefault="00E323B8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466379" w:history="1">
            <w:r w:rsidR="004E2773" w:rsidRPr="008A7216">
              <w:rPr>
                <w:rStyle w:val="Hyperlink"/>
                <w:noProof/>
              </w:rPr>
              <w:t>2.1</w:t>
            </w:r>
            <w:r w:rsidR="004E2773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4E2773" w:rsidRPr="008A7216">
              <w:rPr>
                <w:rStyle w:val="Hyperlink"/>
                <w:noProof/>
              </w:rPr>
              <w:t>V1 – Ausfällen von Calciumoxalat aus Mineralwasser</w:t>
            </w:r>
            <w:r w:rsidR="004E27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E2773">
              <w:rPr>
                <w:noProof/>
                <w:webHidden/>
              </w:rPr>
              <w:instrText xml:space="preserve"> PAGEREF _Toc426466379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26A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80" w:rsidRDefault="00E323B8" w:rsidP="009D26DA">
          <w:r>
            <w:fldChar w:fldCharType="end"/>
          </w:r>
        </w:p>
      </w:sdtContent>
    </w:sdt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984EF9" w:rsidP="0086227B">
      <w:pPr>
        <w:pStyle w:val="berschrift1"/>
      </w:pPr>
      <w:bookmarkStart w:id="0" w:name="_Toc426466374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0"/>
    </w:p>
    <w:p w:rsidR="00B32E27" w:rsidRPr="00984EF9" w:rsidRDefault="00E323B8" w:rsidP="00B32E27">
      <w:pPr>
        <w:pStyle w:val="berschrift2"/>
      </w:pPr>
      <w:r>
        <w:rPr>
          <w:noProof/>
          <w:lang w:eastAsia="de-DE"/>
        </w:rPr>
        <w:pict>
          <v:shape id="_x0000_s1181" type="#_x0000_t202" style="position:absolute;left:0;text-align:left;margin-left:-.05pt;margin-top:31.45pt;width:462.45pt;height:24.75pt;z-index:251809792;mso-width-relative:margin;mso-height-relative:margin" fillcolor="white [3201]" strokecolor="#4bacc6 [3208]" strokeweight="1pt">
            <v:stroke dashstyle="dash"/>
            <v:shadow color="#868686"/>
            <v:textbox style="mso-next-textbox:#_x0000_s1181">
              <w:txbxContent>
                <w:p w:rsidR="003E687E" w:rsidRPr="00F31EBF" w:rsidRDefault="003E687E" w:rsidP="00B32E2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festes elementares Iod durch Oxidation ausfallen kann.</w:t>
                  </w:r>
                </w:p>
              </w:txbxContent>
            </v:textbox>
            <w10:wrap type="square"/>
          </v:shape>
        </w:pict>
      </w:r>
      <w:bookmarkStart w:id="1" w:name="_Toc426466375"/>
      <w:r w:rsidR="00B32E27">
        <w:t xml:space="preserve">V1 – </w:t>
      </w:r>
      <w:r w:rsidR="00C502DB">
        <w:t>Ausfällen von Iod</w:t>
      </w:r>
      <w:bookmarkEnd w:id="1"/>
    </w:p>
    <w:p w:rsidR="00B32E27" w:rsidRDefault="00B32E27" w:rsidP="00B32E27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32E27" w:rsidRPr="009C5E28" w:rsidTr="007A642D">
        <w:tc>
          <w:tcPr>
            <w:tcW w:w="9322" w:type="dxa"/>
            <w:gridSpan w:val="9"/>
            <w:shd w:val="clear" w:color="auto" w:fill="4F81BD"/>
            <w:vAlign w:val="center"/>
          </w:tcPr>
          <w:p w:rsidR="00B32E27" w:rsidRPr="00F31EBF" w:rsidRDefault="00B32E27" w:rsidP="007A642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32E27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7F2ABC" w:rsidRDefault="00421216" w:rsidP="007A642D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Wasserstoffperoxid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7F2ABC" w:rsidRDefault="00B32E27" w:rsidP="00B32E27">
            <w:pPr>
              <w:spacing w:after="0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H:</w:t>
            </w:r>
            <w:r w:rsidR="00421216" w:rsidRPr="007F2ABC">
              <w:rPr>
                <w:sz w:val="20"/>
                <w:szCs w:val="20"/>
              </w:rPr>
              <w:t xml:space="preserve"> 302 - 318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2E27" w:rsidRPr="007F2ABC" w:rsidRDefault="00B32E27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 xml:space="preserve">P: </w:t>
            </w:r>
            <w:r w:rsidR="007A642D" w:rsidRPr="007F2ABC">
              <w:rPr>
                <w:sz w:val="20"/>
                <w:szCs w:val="20"/>
              </w:rPr>
              <w:t>210</w:t>
            </w:r>
          </w:p>
        </w:tc>
      </w:tr>
      <w:tr w:rsidR="007A642D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7F2ABC" w:rsidRDefault="00421216" w:rsidP="007A642D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Schwefel</w:t>
            </w:r>
            <w:r w:rsidR="007A642D" w:rsidRPr="007F2ABC">
              <w:rPr>
                <w:sz w:val="20"/>
                <w:szCs w:val="20"/>
              </w:rPr>
              <w:t>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7F2ABC" w:rsidRDefault="007A642D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H: 31</w:t>
            </w:r>
            <w:r w:rsidR="00421216" w:rsidRPr="007F2ABC">
              <w:rPr>
                <w:sz w:val="20"/>
                <w:szCs w:val="20"/>
              </w:rPr>
              <w:t>4 - 290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A642D" w:rsidRPr="007F2ABC" w:rsidRDefault="007A642D" w:rsidP="00421216">
            <w:pPr>
              <w:spacing w:after="0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 xml:space="preserve">P: </w:t>
            </w:r>
            <w:r w:rsidR="00421216" w:rsidRPr="007F2ABC">
              <w:rPr>
                <w:sz w:val="20"/>
                <w:szCs w:val="20"/>
              </w:rPr>
              <w:t>280 - 301</w:t>
            </w:r>
            <w:r w:rsidRPr="007F2ABC">
              <w:rPr>
                <w:sz w:val="20"/>
                <w:szCs w:val="20"/>
              </w:rPr>
              <w:t>+3</w:t>
            </w:r>
            <w:r w:rsidR="00421216" w:rsidRPr="007F2ABC">
              <w:rPr>
                <w:sz w:val="20"/>
                <w:szCs w:val="20"/>
              </w:rPr>
              <w:t>30+</w:t>
            </w:r>
            <w:r w:rsidRPr="007F2ABC">
              <w:rPr>
                <w:sz w:val="20"/>
                <w:szCs w:val="20"/>
              </w:rPr>
              <w:t>3</w:t>
            </w:r>
            <w:r w:rsidR="00421216" w:rsidRPr="007F2ABC">
              <w:rPr>
                <w:sz w:val="20"/>
                <w:szCs w:val="20"/>
              </w:rPr>
              <w:t>31 – 305+351+338 – 309+310</w:t>
            </w:r>
          </w:p>
        </w:tc>
      </w:tr>
      <w:tr w:rsidR="007A642D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7F2ABC" w:rsidRDefault="00421216" w:rsidP="007A642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Kaliumiodid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7F2ABC" w:rsidRDefault="007A642D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A642D" w:rsidRPr="007F2ABC" w:rsidRDefault="007A642D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-</w:t>
            </w:r>
          </w:p>
        </w:tc>
      </w:tr>
      <w:tr w:rsidR="002806E1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06E1" w:rsidRPr="007F2ABC" w:rsidRDefault="002806E1" w:rsidP="007A642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7F2ABC">
              <w:rPr>
                <w:sz w:val="20"/>
                <w:szCs w:val="20"/>
              </w:rPr>
              <w:t>Natriumthiosulfat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06E1" w:rsidRPr="007F2ABC" w:rsidRDefault="002806E1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06E1" w:rsidRPr="007F2ABC" w:rsidRDefault="002806E1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-</w:t>
            </w:r>
          </w:p>
        </w:tc>
      </w:tr>
      <w:tr w:rsidR="007F0819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0819" w:rsidRPr="007F2ABC" w:rsidRDefault="007F0819" w:rsidP="007A642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Iod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0819" w:rsidRPr="007F2ABC" w:rsidRDefault="007F0819" w:rsidP="007F0819">
            <w:pPr>
              <w:spacing w:after="0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H: 332 - 312+400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0819" w:rsidRPr="007F2ABC" w:rsidRDefault="007F0819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7F2ABC">
              <w:rPr>
                <w:sz w:val="20"/>
                <w:szCs w:val="20"/>
              </w:rPr>
              <w:t>P: 372 – 302+352</w:t>
            </w:r>
          </w:p>
        </w:tc>
      </w:tr>
      <w:tr w:rsidR="00B32E27" w:rsidRPr="009C5E28" w:rsidTr="007A642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5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76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79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1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E27" w:rsidRDefault="00B32E27" w:rsidP="00B32E27">
      <w:pPr>
        <w:tabs>
          <w:tab w:val="left" w:pos="1701"/>
          <w:tab w:val="left" w:pos="1985"/>
        </w:tabs>
        <w:ind w:left="1980" w:hanging="1980"/>
      </w:pPr>
    </w:p>
    <w:p w:rsidR="00B32E27" w:rsidRDefault="00B32E27" w:rsidP="00B32E2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7F0819">
        <w:t>250 mL Becherglas, Reagenzglas, Reagenzglasständer, Spatel, Pasteurpipe</w:t>
      </w:r>
      <w:r w:rsidR="007F0819">
        <w:t>t</w:t>
      </w:r>
      <w:r w:rsidR="007F0819">
        <w:t>te, Trichter, Filterpapier</w:t>
      </w:r>
      <w:r w:rsidR="007A642D">
        <w:t>.</w:t>
      </w:r>
    </w:p>
    <w:p w:rsidR="00B32E27" w:rsidRPr="00ED07C2" w:rsidRDefault="00B32E27" w:rsidP="00B32E2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="002806E1">
        <w:t>Natriumthiosulfat</w:t>
      </w:r>
      <w:proofErr w:type="spellEnd"/>
      <w:r w:rsidR="002806E1">
        <w:t xml:space="preserve">, </w:t>
      </w:r>
      <w:r w:rsidR="007F0819">
        <w:t>Kaliumiodid, Wasserstoffperoxid (w = 30 %), konze</w:t>
      </w:r>
      <w:r w:rsidR="007F0819">
        <w:t>n</w:t>
      </w:r>
      <w:r w:rsidR="007F0819">
        <w:t>trierte Schwefelsäure, destilliertes Wasser.</w:t>
      </w:r>
    </w:p>
    <w:p w:rsidR="00B32E27" w:rsidRDefault="00B32E27" w:rsidP="00B32E27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 w:rsidR="007F0819">
        <w:t>Ein Reagenzglas wird bis zur Hälfte mit destilliertem Wasser gefüllt. Dazu wird ein Spatel Kaliumiodid gegeben. Die Lösung wird mit 10 Tropfen ko</w:t>
      </w:r>
      <w:r w:rsidR="007F0819">
        <w:t>n</w:t>
      </w:r>
      <w:r w:rsidR="007F0819">
        <w:t>zentrierter Schwefelsäure angesäuert. Zur Lösung wird Wasserstoffperoxid gegeben bis ein Feststoff ausfällt. Mit einem Filter wird der Feststoff von der Lösung getrennt.</w:t>
      </w:r>
    </w:p>
    <w:p w:rsidR="005F1720" w:rsidRDefault="00B32E27" w:rsidP="00FD1808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6938F4">
        <w:t>Durch Zugabe von Wasserstoffperoxid zur angesäuerten Kaliumiodid-</w:t>
      </w:r>
      <w:proofErr w:type="spellStart"/>
      <w:r w:rsidR="006938F4">
        <w:t>lösung</w:t>
      </w:r>
      <w:proofErr w:type="spellEnd"/>
      <w:r w:rsidR="006938F4">
        <w:t xml:space="preserve"> färbt sich die Lösung braun und am Boden des Reagenzglases fällt ein schwarzer Feststoff aus. Nach der Filtration befindet sich der schwarze Feststoff im Rückstand.</w:t>
      </w:r>
    </w:p>
    <w:p w:rsidR="006938F4" w:rsidRDefault="006938F4" w:rsidP="004E2773">
      <w:pPr>
        <w:keepNext/>
        <w:tabs>
          <w:tab w:val="left" w:pos="1701"/>
          <w:tab w:val="left" w:pos="1985"/>
        </w:tabs>
        <w:rPr>
          <w:noProof/>
          <w:lang w:eastAsia="de-DE"/>
        </w:rPr>
      </w:pPr>
    </w:p>
    <w:p w:rsidR="00B32E27" w:rsidRDefault="00B32E27" w:rsidP="00FD1808">
      <w:pPr>
        <w:keepNext/>
        <w:tabs>
          <w:tab w:val="left" w:pos="1701"/>
          <w:tab w:val="left" w:pos="1985"/>
        </w:tabs>
        <w:ind w:left="1980" w:hanging="1980"/>
        <w:jc w:val="center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1471629" cy="1800000"/>
            <wp:effectExtent l="19050" t="0" r="0" b="0"/>
            <wp:docPr id="84" name="Bild 17" descr="C:\Users\Dennis Roggenkämper\AppData\Local\Microsoft\Windows\Temporary Internet Files\Content.Word\IMG_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nis Roggenkämper\AppData\Local\Microsoft\Windows\Temporary Internet Files\Content.Word\IMG_224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2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8F4">
        <w:tab/>
      </w:r>
      <w:r w:rsidR="006938F4">
        <w:rPr>
          <w:noProof/>
          <w:lang w:eastAsia="de-DE"/>
        </w:rPr>
        <w:drawing>
          <wp:inline distT="0" distB="0" distL="0" distR="0">
            <wp:extent cx="1703424" cy="1796902"/>
            <wp:effectExtent l="19050" t="0" r="0" b="0"/>
            <wp:docPr id="1" name="Bild 1" descr="C:\Users\Dennis Roggenkämper\Desktop\Fällungsreaktionen\IMG_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 Roggenkämper\Desktop\Fällungsreaktionen\IMG_234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24" cy="179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27" w:rsidRPr="00247452" w:rsidRDefault="005F1720" w:rsidP="00B32E27">
      <w:pPr>
        <w:pStyle w:val="Beschriftung"/>
        <w:jc w:val="center"/>
      </w:pPr>
      <w:r>
        <w:t>Abb. 1</w:t>
      </w:r>
      <w:r w:rsidR="00B32E27" w:rsidRPr="00247452">
        <w:t xml:space="preserve"> – </w:t>
      </w:r>
      <w:r w:rsidR="00FD1808">
        <w:rPr>
          <w:noProof/>
        </w:rPr>
        <w:t>Iod fällt aus und kann abfiltriert werden</w:t>
      </w:r>
      <w:r w:rsidR="00B32E27" w:rsidRPr="00247452">
        <w:rPr>
          <w:noProof/>
        </w:rPr>
        <w:t>.</w:t>
      </w:r>
    </w:p>
    <w:p w:rsidR="00C4436F" w:rsidRPr="00007E3B" w:rsidRDefault="00B32E27" w:rsidP="000F65EC">
      <w:pPr>
        <w:tabs>
          <w:tab w:val="left" w:pos="1701"/>
          <w:tab w:val="left" w:pos="1985"/>
        </w:tabs>
        <w:spacing w:after="0"/>
        <w:ind w:left="1985" w:hanging="1985"/>
      </w:pPr>
      <w:r>
        <w:t>Deutung:</w:t>
      </w:r>
      <w:r>
        <w:tab/>
      </w:r>
      <w:r>
        <w:tab/>
      </w:r>
      <w:r w:rsidR="00C4436F">
        <w:t>Das Iod ist nur sehr schlecht in Wasser löslich und fällt als Feststoff aus der Lösung aus.</w:t>
      </w:r>
      <w:r w:rsidR="000F65EC">
        <w:t xml:space="preserve"> </w:t>
      </w:r>
      <w:r w:rsidR="000F65EC" w:rsidRPr="00007E3B">
        <w:t>Wasserstoffperoxid dient als Oxidationsmittel, I</w:t>
      </w:r>
      <w:r w:rsidR="000F65EC">
        <w:t>odid dient als Reduktions-mittel.</w:t>
      </w:r>
    </w:p>
    <w:p w:rsidR="00B32E27" w:rsidRDefault="00B32E27" w:rsidP="00B32E27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FD1808">
        <w:t xml:space="preserve">Das Iod wird mit </w:t>
      </w:r>
      <w:proofErr w:type="spellStart"/>
      <w:r w:rsidR="00FD1808">
        <w:t>Natriumthiosulfat</w:t>
      </w:r>
      <w:proofErr w:type="spellEnd"/>
      <w:r w:rsidR="00FD1808">
        <w:t xml:space="preserve"> reduziert und im Abfluss entsorgt</w:t>
      </w:r>
      <w:r>
        <w:t>.</w:t>
      </w:r>
    </w:p>
    <w:p w:rsidR="000F65EC" w:rsidRPr="000F65EC" w:rsidRDefault="00E323B8" w:rsidP="000F65EC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val="en-US" w:eastAsia="de-DE"/>
        </w:rPr>
      </w:pPr>
      <w:r>
        <w:rPr>
          <w:rFonts w:asciiTheme="majorHAnsi" w:eastAsia="Times New Roman" w:hAnsiTheme="majorHAnsi" w:cs="Times New Roman"/>
          <w:noProof/>
          <w:color w:val="auto"/>
          <w:szCs w:val="24"/>
          <w:lang w:eastAsia="de-DE"/>
        </w:rPr>
        <w:pict>
          <v:shape id="_x0000_s1186" type="#_x0000_t202" style="position:absolute;left:0;text-align:left;margin-left:6.15pt;margin-top:50.15pt;width:456.25pt;height:46.55pt;z-index:251814912;mso-position-horizontal-relative:margin;mso-width-relative:margin;mso-height-relative:margin" strokecolor="#c0504d" strokeweight="1pt">
            <v:stroke dashstyle="dash"/>
            <v:shadow color="#868686"/>
            <v:textbox style="mso-next-textbox:#_x0000_s1186">
              <w:txbxContent>
                <w:p w:rsidR="000F65EC" w:rsidRDefault="000F65EC" w:rsidP="000F65EC">
                  <w:pPr>
                    <w:spacing w:after="0"/>
                  </w:pPr>
                  <w:r>
                    <w:t>Reaktionsgleichung (sollte ausgelassen werden):</w:t>
                  </w:r>
                </w:p>
                <w:p w:rsidR="000F65EC" w:rsidRPr="00535DB4" w:rsidRDefault="000F65EC" w:rsidP="000F65EC">
                  <w:pPr>
                    <w:tabs>
                      <w:tab w:val="left" w:pos="1701"/>
                      <w:tab w:val="left" w:pos="1985"/>
                    </w:tabs>
                    <w:spacing w:after="0"/>
                    <w:rPr>
                      <w:vertAlign w:val="subscript"/>
                    </w:rPr>
                  </w:pPr>
                  <w:r w:rsidRPr="00535DB4">
                    <w:t xml:space="preserve">2 KI </w:t>
                  </w:r>
                  <w:r w:rsidRPr="00535DB4">
                    <w:rPr>
                      <w:vertAlign w:val="subscript"/>
                    </w:rPr>
                    <w:t>(</w:t>
                  </w:r>
                  <w:proofErr w:type="spellStart"/>
                  <w:r w:rsidRPr="00535DB4">
                    <w:rPr>
                      <w:vertAlign w:val="subscript"/>
                    </w:rPr>
                    <w:t>aq</w:t>
                  </w:r>
                  <w:proofErr w:type="spellEnd"/>
                  <w:r w:rsidRPr="00535DB4">
                    <w:rPr>
                      <w:vertAlign w:val="subscript"/>
                    </w:rPr>
                    <w:t>)</w:t>
                  </w:r>
                  <w:r w:rsidRPr="00535DB4">
                    <w:t xml:space="preserve">   +   H</w:t>
                  </w:r>
                  <w:r w:rsidRPr="00535DB4">
                    <w:rPr>
                      <w:vertAlign w:val="subscript"/>
                    </w:rPr>
                    <w:t>2</w:t>
                  </w:r>
                  <w:r w:rsidRPr="00535DB4">
                    <w:t>SO</w:t>
                  </w:r>
                  <w:r w:rsidRPr="00535DB4">
                    <w:rPr>
                      <w:vertAlign w:val="subscript"/>
                    </w:rPr>
                    <w:t>4</w:t>
                  </w:r>
                  <w:r w:rsidRPr="00535DB4">
                    <w:t xml:space="preserve"> </w:t>
                  </w:r>
                  <w:r w:rsidRPr="00535DB4">
                    <w:rPr>
                      <w:vertAlign w:val="subscript"/>
                    </w:rPr>
                    <w:t>(l)</w:t>
                  </w:r>
                  <w:r w:rsidRPr="00535DB4">
                    <w:t xml:space="preserve">   +   H</w:t>
                  </w:r>
                  <w:r w:rsidRPr="00535DB4">
                    <w:rPr>
                      <w:vertAlign w:val="subscript"/>
                    </w:rPr>
                    <w:t>2</w:t>
                  </w:r>
                  <w:r w:rsidRPr="00535DB4">
                    <w:t>O</w:t>
                  </w:r>
                  <w:r w:rsidRPr="00535DB4">
                    <w:rPr>
                      <w:vertAlign w:val="subscript"/>
                    </w:rPr>
                    <w:t>2</w:t>
                  </w:r>
                  <w:r w:rsidRPr="00535DB4">
                    <w:t xml:space="preserve"> </w:t>
                  </w:r>
                  <w:r w:rsidRPr="00535DB4">
                    <w:rPr>
                      <w:vertAlign w:val="subscript"/>
                    </w:rPr>
                    <w:t>(</w:t>
                  </w:r>
                  <w:proofErr w:type="spellStart"/>
                  <w:r w:rsidRPr="00535DB4">
                    <w:rPr>
                      <w:vertAlign w:val="subscript"/>
                    </w:rPr>
                    <w:t>aq</w:t>
                  </w:r>
                  <w:proofErr w:type="spellEnd"/>
                  <w:r w:rsidRPr="00535DB4">
                    <w:rPr>
                      <w:vertAlign w:val="subscript"/>
                    </w:rPr>
                    <w:t>)</w:t>
                  </w:r>
                  <w:r w:rsidRPr="00535DB4">
                    <w:t xml:space="preserve">   →   I</w:t>
                  </w:r>
                  <w:r w:rsidRPr="00535DB4">
                    <w:rPr>
                      <w:vertAlign w:val="subscript"/>
                    </w:rPr>
                    <w:t>2</w:t>
                  </w:r>
                  <w:r w:rsidRPr="00535DB4">
                    <w:t xml:space="preserve"> </w:t>
                  </w:r>
                  <w:r w:rsidRPr="00535DB4">
                    <w:rPr>
                      <w:vertAlign w:val="subscript"/>
                    </w:rPr>
                    <w:t>(s)</w:t>
                  </w:r>
                  <w:r w:rsidRPr="00535DB4">
                    <w:t xml:space="preserve"> ↓   +   K</w:t>
                  </w:r>
                  <w:r w:rsidRPr="00535DB4">
                    <w:rPr>
                      <w:vertAlign w:val="subscript"/>
                    </w:rPr>
                    <w:t>2</w:t>
                  </w:r>
                  <w:r w:rsidRPr="00535DB4">
                    <w:t>SO</w:t>
                  </w:r>
                  <w:r w:rsidRPr="00535DB4">
                    <w:rPr>
                      <w:vertAlign w:val="subscript"/>
                    </w:rPr>
                    <w:t>4</w:t>
                  </w:r>
                  <w:r w:rsidRPr="00535DB4">
                    <w:t xml:space="preserve"> </w:t>
                  </w:r>
                  <w:r w:rsidRPr="00535DB4">
                    <w:rPr>
                      <w:vertAlign w:val="subscript"/>
                    </w:rPr>
                    <w:t>(</w:t>
                  </w:r>
                  <w:proofErr w:type="spellStart"/>
                  <w:r w:rsidRPr="00535DB4">
                    <w:rPr>
                      <w:vertAlign w:val="subscript"/>
                    </w:rPr>
                    <w:t>aq</w:t>
                  </w:r>
                  <w:proofErr w:type="spellEnd"/>
                  <w:r w:rsidRPr="00535DB4">
                    <w:rPr>
                      <w:vertAlign w:val="subscript"/>
                    </w:rPr>
                    <w:t>)</w:t>
                  </w:r>
                  <w:r w:rsidRPr="00535DB4">
                    <w:t xml:space="preserve">   +   2 H</w:t>
                  </w:r>
                  <w:r w:rsidRPr="00535DB4">
                    <w:rPr>
                      <w:vertAlign w:val="subscript"/>
                    </w:rPr>
                    <w:t>2</w:t>
                  </w:r>
                  <w:r w:rsidRPr="00535DB4">
                    <w:t xml:space="preserve">O </w:t>
                  </w:r>
                  <w:r w:rsidRPr="00535DB4">
                    <w:rPr>
                      <w:vertAlign w:val="subscript"/>
                    </w:rPr>
                    <w:t>(l)</w:t>
                  </w:r>
                </w:p>
                <w:p w:rsidR="000F65EC" w:rsidRPr="00535DB4" w:rsidRDefault="000F65EC" w:rsidP="000F65EC">
                  <w:pPr>
                    <w:spacing w:after="0"/>
                  </w:pPr>
                </w:p>
              </w:txbxContent>
            </v:textbox>
            <w10:wrap type="square" anchorx="margin"/>
          </v:shape>
        </w:pict>
      </w:r>
      <w:r w:rsidR="00B32E27">
        <w:t>Literatur:</w:t>
      </w:r>
      <w:r w:rsidR="00B32E27">
        <w:tab/>
      </w:r>
      <w:r w:rsidR="00FD1808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H. Schmidkunz, W. Rentsch, </w:t>
      </w:r>
      <w:r w:rsidR="00FD1808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Chemische Freihandversuche: K</w:t>
      </w:r>
      <w:r w:rsidR="00FD1808" w:rsidRPr="00D018F8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leine Versuche mit großer Wirkung</w:t>
      </w:r>
      <w:r w:rsidR="00FD1808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</w:t>
      </w:r>
      <w:proofErr w:type="spellStart"/>
      <w:r w:rsidR="00FD1808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Aulis</w:t>
      </w:r>
      <w:proofErr w:type="spellEnd"/>
      <w:r w:rsidR="00FD1808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Köln, </w:t>
      </w:r>
      <w:r w:rsidR="00FD1808" w:rsidRPr="00D018F8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2011</w:t>
      </w:r>
      <w:r w:rsidR="00FD1808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FD180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</w:t>
      </w:r>
      <w:r w:rsidR="00FD1808" w:rsidRPr="000F65EC">
        <w:rPr>
          <w:rFonts w:asciiTheme="majorHAnsi" w:eastAsia="Times New Roman" w:hAnsiTheme="majorHAnsi" w:cs="Times New Roman"/>
          <w:color w:val="auto"/>
          <w:szCs w:val="24"/>
          <w:lang w:val="en-US" w:eastAsia="de-DE"/>
        </w:rPr>
        <w:t>S.</w:t>
      </w:r>
      <w:r w:rsidR="002806E1" w:rsidRPr="000F65EC">
        <w:rPr>
          <w:rFonts w:asciiTheme="majorHAnsi" w:eastAsia="Times New Roman" w:hAnsiTheme="majorHAnsi" w:cs="Times New Roman"/>
          <w:color w:val="auto"/>
          <w:szCs w:val="24"/>
          <w:lang w:val="en-US" w:eastAsia="de-DE"/>
        </w:rPr>
        <w:t>225</w:t>
      </w:r>
    </w:p>
    <w:p w:rsidR="00B32E27" w:rsidRPr="00B32E27" w:rsidRDefault="00B32E27" w:rsidP="00B32E27"/>
    <w:p w:rsidR="00007E3B" w:rsidRPr="00984EF9" w:rsidRDefault="00E323B8" w:rsidP="00007E3B">
      <w:pPr>
        <w:pStyle w:val="berschrift2"/>
      </w:pPr>
      <w:r>
        <w:rPr>
          <w:noProof/>
          <w:lang w:eastAsia="de-DE"/>
        </w:rPr>
        <w:pict>
          <v:shape id="_x0000_s1157" type="#_x0000_t202" style="position:absolute;left:0;text-align:left;margin-left:-.05pt;margin-top:31.45pt;width:462.45pt;height:43.3pt;z-index:251788288;mso-width-relative:margin;mso-height-relative:margin" fillcolor="white [3201]" strokecolor="#4bacc6 [3208]" strokeweight="1pt">
            <v:stroke dashstyle="dash"/>
            <v:shadow color="#868686"/>
            <v:textbox style="mso-next-textbox:#_x0000_s1157">
              <w:txbxContent>
                <w:p w:rsidR="003E687E" w:rsidRPr="00F31EBF" w:rsidRDefault="003E687E" w:rsidP="008F79B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durch Lichtenergie Silberhalogenide in die Ele</w:t>
                  </w:r>
                  <w:r w:rsidR="004E2773">
                    <w:rPr>
                      <w:color w:val="auto"/>
                    </w:rPr>
                    <w:t>mente gespalten werden können.</w:t>
                  </w:r>
                </w:p>
              </w:txbxContent>
            </v:textbox>
            <w10:wrap type="square"/>
          </v:shape>
        </w:pict>
      </w:r>
      <w:bookmarkStart w:id="2" w:name="_Toc426466376"/>
      <w:r w:rsidR="00966548">
        <w:t>V2</w:t>
      </w:r>
      <w:r w:rsidR="008F79B1">
        <w:t xml:space="preserve"> – </w:t>
      </w:r>
      <w:r w:rsidR="00C502DB">
        <w:t>Spaltung von Silberhalogeniden mit Licht</w:t>
      </w:r>
      <w:bookmarkEnd w:id="2"/>
    </w:p>
    <w:p w:rsidR="00007E3B" w:rsidRPr="00E71DB5" w:rsidRDefault="00007E3B" w:rsidP="00007E3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07E3B" w:rsidRPr="009C5E28" w:rsidTr="00007E3B">
        <w:tc>
          <w:tcPr>
            <w:tcW w:w="9322" w:type="dxa"/>
            <w:gridSpan w:val="9"/>
            <w:shd w:val="clear" w:color="auto" w:fill="4F81BD"/>
            <w:vAlign w:val="center"/>
          </w:tcPr>
          <w:p w:rsidR="00007E3B" w:rsidRPr="00F31EBF" w:rsidRDefault="00007E3B" w:rsidP="00007E3B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07E3B" w:rsidRPr="009C5E28" w:rsidTr="00007E3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7F2ABC">
            <w:pPr>
              <w:spacing w:after="0"/>
              <w:jc w:val="center"/>
              <w:rPr>
                <w:b/>
                <w:bCs/>
              </w:rPr>
            </w:pPr>
            <w:r>
              <w:rPr>
                <w:sz w:val="20"/>
              </w:rPr>
              <w:t>Silbernitratlösung</w:t>
            </w:r>
            <w:r w:rsidR="007F2ABC">
              <w:rPr>
                <w:sz w:val="20"/>
              </w:rPr>
              <w:t xml:space="preserve"> (c = 0,1 M)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</w:pPr>
            <w:r>
              <w:rPr>
                <w:sz w:val="20"/>
              </w:rPr>
              <w:t>H: 315 – 319 - 410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</w:pPr>
            <w:r>
              <w:rPr>
                <w:sz w:val="20"/>
              </w:rPr>
              <w:t>P: 273 – 302+352 – 305+351+338</w:t>
            </w:r>
          </w:p>
        </w:tc>
      </w:tr>
      <w:tr w:rsidR="00007E3B" w:rsidRPr="009C5E28" w:rsidTr="00007E3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Default="00007E3B" w:rsidP="00007E3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Default="00007E3B" w:rsidP="00007E3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07E3B" w:rsidRDefault="00007E3B" w:rsidP="00007E3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07E3B" w:rsidRPr="009C5E28" w:rsidTr="00007E3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Default="00007E3B" w:rsidP="007F2AB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Natrium</w:t>
            </w:r>
            <w:r w:rsidR="007F2ABC">
              <w:rPr>
                <w:sz w:val="20"/>
              </w:rPr>
              <w:t>bromid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Default="00007E3B" w:rsidP="00007E3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07E3B" w:rsidRDefault="00007E3B" w:rsidP="00007E3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07E3B" w:rsidRPr="009C5E28" w:rsidTr="00007E3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Default="00007E3B" w:rsidP="00007E3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Natriumiodid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Default="00007E3B" w:rsidP="00007E3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07E3B" w:rsidRDefault="00007E3B" w:rsidP="00007E3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36946" w:rsidRPr="009C5E28" w:rsidTr="00007E3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6946" w:rsidRDefault="00E36946" w:rsidP="00007E3B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Natriumthiosulfat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36946" w:rsidRDefault="00E36946" w:rsidP="00007E3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36946" w:rsidRDefault="00E36946" w:rsidP="00007E3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07E3B" w:rsidRPr="009C5E28" w:rsidTr="00007E3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4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7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2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07E3B" w:rsidRPr="009C5E28" w:rsidRDefault="00007E3B" w:rsidP="00007E3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E3B" w:rsidRDefault="00007E3B" w:rsidP="00007E3B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Materialien: </w:t>
      </w:r>
      <w:r>
        <w:tab/>
      </w:r>
      <w:r>
        <w:tab/>
      </w:r>
      <w:r w:rsidR="00DF68D9">
        <w:t>6</w:t>
      </w:r>
      <w:r>
        <w:t xml:space="preserve"> Reagenzgläser, Reagenzglasständer, Spatel, Pasteurpipette, Stopfen, 250 mL Becherglas, Bun</w:t>
      </w:r>
      <w:r w:rsidR="005A5A51">
        <w:t>senbrenner, Dreifuß, Drahtnetz.</w:t>
      </w:r>
    </w:p>
    <w:p w:rsidR="00007E3B" w:rsidRPr="00ED07C2" w:rsidRDefault="00007E3B" w:rsidP="00007E3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Natriumchlorid, Natriumbromid, Natriumiodid, Silbernitratlösung</w:t>
      </w:r>
      <w:r w:rsidR="007F2ABC">
        <w:t xml:space="preserve"> </w:t>
      </w:r>
      <w:r w:rsidR="007F2ABC">
        <w:rPr>
          <w:sz w:val="20"/>
        </w:rPr>
        <w:t>(c = 0,1 M)</w:t>
      </w:r>
      <w:r>
        <w:t>, destil</w:t>
      </w:r>
      <w:r w:rsidR="005A5A51">
        <w:t>liertes Wasser, Gelatine.</w:t>
      </w:r>
    </w:p>
    <w:p w:rsidR="00007E3B" w:rsidRDefault="00007E3B" w:rsidP="00DF68D9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 w:rsidR="005A5A51">
        <w:t xml:space="preserve">8 g Gelatine </w:t>
      </w:r>
      <w:r w:rsidR="007F2ABC">
        <w:t xml:space="preserve">werden in 50 mL warmes Wasser </w:t>
      </w:r>
      <w:r w:rsidR="005A5A51">
        <w:t xml:space="preserve">gegeben und 10 Minuten zum Quellen </w:t>
      </w:r>
      <w:r w:rsidR="007F2ABC">
        <w:t xml:space="preserve">der Gelatine </w:t>
      </w:r>
      <w:r w:rsidR="005A5A51">
        <w:t>stehen gelassen (die Gelatine darf nicht fest we</w:t>
      </w:r>
      <w:r w:rsidR="005A5A51">
        <w:t>r</w:t>
      </w:r>
      <w:r w:rsidR="005A5A51">
        <w:t>den). Dann werden in drei Reagenzgläsern eine Natriumchlorid-, Natriu</w:t>
      </w:r>
      <w:r w:rsidR="005A5A51">
        <w:t>m</w:t>
      </w:r>
      <w:r w:rsidR="005A5A51">
        <w:t>bromid- und Natriumiodid-Lösung angesetzt. Dazu wird je ein Reagenzglas halb mit destilliertem Wasser gefüllt und mit einem Spatel des jeweiligen Salzes versetzt.</w:t>
      </w:r>
      <w:r w:rsidR="00DF68D9">
        <w:t xml:space="preserve"> Dann werden drei Reagenzgläser zur Hälfte mit der Gelat</w:t>
      </w:r>
      <w:r w:rsidR="00DF68D9">
        <w:t>i</w:t>
      </w:r>
      <w:r w:rsidR="00DF68D9">
        <w:t>nelösung, mit der jeweiligen Salzlösung und mit 5 Tropfen Silbernitratl</w:t>
      </w:r>
      <w:r w:rsidR="00DF68D9">
        <w:t>ö</w:t>
      </w:r>
      <w:r w:rsidR="00DF68D9">
        <w:t xml:space="preserve">sung </w:t>
      </w:r>
      <w:proofErr w:type="spellStart"/>
      <w:r w:rsidR="00DF68D9">
        <w:t>befüllt</w:t>
      </w:r>
      <w:proofErr w:type="spellEnd"/>
      <w:r w:rsidR="00DF68D9">
        <w:t>. Die drei Reagenzgläser werden zur Hälfte mit Alufolie abg</w:t>
      </w:r>
      <w:r w:rsidR="00DF68D9">
        <w:t>e</w:t>
      </w:r>
      <w:r w:rsidR="00DF68D9">
        <w:t>deckt und vor eine Licht</w:t>
      </w:r>
      <w:r w:rsidR="007F2ABC">
        <w:t>quelle gestellt. Die Belichtung erfolgt unterm A</w:t>
      </w:r>
      <w:r w:rsidR="007F2ABC">
        <w:t>b</w:t>
      </w:r>
      <w:r w:rsidR="007F2ABC">
        <w:t>zug!</w:t>
      </w:r>
    </w:p>
    <w:p w:rsidR="00007E3B" w:rsidRDefault="00007E3B" w:rsidP="00007E3B">
      <w:pPr>
        <w:tabs>
          <w:tab w:val="left" w:pos="1701"/>
          <w:tab w:val="left" w:pos="1985"/>
        </w:tabs>
        <w:spacing w:after="0"/>
        <w:ind w:left="1980" w:hanging="1980"/>
      </w:pPr>
      <w:r>
        <w:t>Beobachtung:</w:t>
      </w:r>
      <w:r>
        <w:tab/>
      </w:r>
      <w:r>
        <w:tab/>
      </w:r>
      <w:proofErr w:type="spellStart"/>
      <w:r w:rsidR="00DF68D9">
        <w:t>Silberchloridlösung</w:t>
      </w:r>
      <w:proofErr w:type="spellEnd"/>
      <w:r>
        <w:t xml:space="preserve">: Es </w:t>
      </w:r>
      <w:r w:rsidR="00DF68D9">
        <w:t>entsteht</w:t>
      </w:r>
      <w:r>
        <w:t xml:space="preserve"> </w:t>
      </w:r>
      <w:r w:rsidR="00DF68D9">
        <w:t>eine grausilbrige Lösung</w:t>
      </w:r>
      <w:r w:rsidR="00BC2C6E">
        <w:t xml:space="preserve"> im belichteten Bereich.</w:t>
      </w:r>
    </w:p>
    <w:p w:rsidR="00007E3B" w:rsidRDefault="00007E3B" w:rsidP="00007E3B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</w:r>
      <w:r w:rsidR="00DF68D9">
        <w:t>Silber</w:t>
      </w:r>
      <w:r>
        <w:t>bromid</w:t>
      </w:r>
      <w:r w:rsidR="00DF68D9">
        <w:t>lösung</w:t>
      </w:r>
      <w:r>
        <w:t xml:space="preserve">: Es </w:t>
      </w:r>
      <w:r w:rsidR="00DF68D9">
        <w:t>entsteht</w:t>
      </w:r>
      <w:r>
        <w:t xml:space="preserve"> ein</w:t>
      </w:r>
      <w:r w:rsidR="00DF68D9">
        <w:t>e graubraune Lösung</w:t>
      </w:r>
      <w:r w:rsidR="00BC2C6E">
        <w:t xml:space="preserve"> im </w:t>
      </w:r>
      <w:r w:rsidR="007F2ABC">
        <w:t>belichteten</w:t>
      </w:r>
      <w:r w:rsidR="00BC2C6E">
        <w:t xml:space="preserve"> Bereich.</w:t>
      </w:r>
    </w:p>
    <w:p w:rsidR="00007E3B" w:rsidRDefault="00007E3B" w:rsidP="00007E3B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</w:r>
      <w:proofErr w:type="spellStart"/>
      <w:r w:rsidR="00DF68D9">
        <w:t>Silber</w:t>
      </w:r>
      <w:r>
        <w:t>iodid</w:t>
      </w:r>
      <w:r w:rsidR="00DF68D9">
        <w:t>lösung</w:t>
      </w:r>
      <w:proofErr w:type="spellEnd"/>
      <w:r w:rsidR="00DF68D9">
        <w:t>: Der</w:t>
      </w:r>
      <w:r>
        <w:t xml:space="preserve"> käsig-gelbe Niederschlag</w:t>
      </w:r>
      <w:r w:rsidR="00DF68D9">
        <w:t xml:space="preserve"> </w:t>
      </w:r>
      <w:r w:rsidR="00BC2C6E">
        <w:t>verändert sich nicht.</w:t>
      </w:r>
    </w:p>
    <w:p w:rsidR="00007E3B" w:rsidRDefault="00DF68D9" w:rsidP="00DF68D9">
      <w:pPr>
        <w:keepNext/>
        <w:tabs>
          <w:tab w:val="left" w:pos="1701"/>
          <w:tab w:val="left" w:pos="1985"/>
        </w:tabs>
        <w:spacing w:after="0"/>
        <w:ind w:left="1980" w:hanging="1980"/>
        <w:jc w:val="center"/>
      </w:pPr>
      <w:r w:rsidRPr="00DF68D9">
        <w:rPr>
          <w:noProof/>
          <w:lang w:eastAsia="de-DE"/>
        </w:rPr>
        <w:drawing>
          <wp:inline distT="0" distB="0" distL="0" distR="0">
            <wp:extent cx="1943999" cy="2160000"/>
            <wp:effectExtent l="133350" t="0" r="113401" b="0"/>
            <wp:docPr id="16" name="Bild 32" descr="C:\Users\Dennis Roggenkämper\AppData\Local\Microsoft\Windows\Temporary Internet Files\Content.Word\IMG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nnis Roggenkämper\AppData\Local\Microsoft\Windows\Temporary Internet Files\Content.Word\IMG_220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399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3B" w:rsidRPr="00247452" w:rsidRDefault="00007E3B" w:rsidP="00007E3B">
      <w:pPr>
        <w:pStyle w:val="Beschriftung"/>
        <w:spacing w:line="360" w:lineRule="auto"/>
        <w:jc w:val="center"/>
      </w:pPr>
      <w:r>
        <w:t>Abb. 2</w:t>
      </w:r>
      <w:r w:rsidRPr="00247452">
        <w:t xml:space="preserve"> – </w:t>
      </w:r>
      <w:r w:rsidR="00BC2C6E">
        <w:rPr>
          <w:noProof/>
        </w:rPr>
        <w:t>Licht spaltet Silberchlorid und –bromid in die Elemente</w:t>
      </w:r>
      <w:r w:rsidRPr="00247452">
        <w:rPr>
          <w:noProof/>
        </w:rPr>
        <w:t>.</w:t>
      </w:r>
    </w:p>
    <w:p w:rsidR="00007E3B" w:rsidRPr="00BC2C6E" w:rsidRDefault="00007E3B" w:rsidP="00BC2C6E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BC2C6E">
        <w:t>Aus der Silberchlorid- und der Silberbromidlösung fällt durch die Einwi</w:t>
      </w:r>
      <w:r w:rsidR="00BC2C6E">
        <w:t>r</w:t>
      </w:r>
      <w:r w:rsidR="00BC2C6E">
        <w:t>kung von Licht wieder Silber aus, das sich nicht im Wasse</w:t>
      </w:r>
      <w:r w:rsidR="000F65EC">
        <w:t xml:space="preserve">r löst. Weiterhin entstehen in geringen Mengen </w:t>
      </w:r>
      <w:r w:rsidR="00BC2C6E">
        <w:t>Chlor und Brom.</w:t>
      </w:r>
      <w:r w:rsidR="007F2ABC">
        <w:t xml:space="preserve"> Die Gelatine verhindert die Durchmischung der zwei Phasen.</w:t>
      </w:r>
    </w:p>
    <w:p w:rsidR="00007E3B" w:rsidRDefault="00007E3B" w:rsidP="00007E3B">
      <w:pPr>
        <w:ind w:left="1985" w:hanging="1985"/>
        <w:jc w:val="left"/>
      </w:pPr>
      <w:r>
        <w:t>Entsorgung:</w:t>
      </w:r>
      <w:r>
        <w:tab/>
        <w:t xml:space="preserve">Die Reaktionsprodukte werden </w:t>
      </w:r>
      <w:r w:rsidR="00E36946">
        <w:t xml:space="preserve">mit Natriumthiosulfatlösung reduziert. Die Lösungen werden dann </w:t>
      </w:r>
      <w:r>
        <w:t>in den Schwermetallbehälter gegeben.</w:t>
      </w:r>
    </w:p>
    <w:p w:rsidR="00007E3B" w:rsidRDefault="00E323B8" w:rsidP="00007E3B">
      <w:pPr>
        <w:spacing w:after="0"/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 w:rsidRPr="00E323B8">
        <w:rPr>
          <w:rFonts w:eastAsiaTheme="minorEastAsia"/>
          <w:noProof/>
          <w:lang w:eastAsia="de-DE"/>
        </w:rPr>
        <w:lastRenderedPageBreak/>
        <w:pict>
          <v:shape id="_x0000_s1183" type="#_x0000_t202" style="position:absolute;left:0;text-align:left;margin-left:-4.95pt;margin-top:43.3pt;width:456.25pt;height:82.15pt;z-index:251811840;mso-position-horizontal-relative:margin;mso-width-relative:margin;mso-height-relative:margin" strokecolor="#c0504d" strokeweight="1pt">
            <v:stroke dashstyle="dash"/>
            <v:shadow color="#868686"/>
            <v:textbox style="mso-next-textbox:#_x0000_s1183">
              <w:txbxContent>
                <w:p w:rsidR="003E687E" w:rsidRPr="00E36946" w:rsidRDefault="003E687E" w:rsidP="00007E3B">
                  <w:pPr>
                    <w:spacing w:after="0"/>
                  </w:pPr>
                  <w:r w:rsidRPr="00E36946">
                    <w:t>Reaktionsgleichung</w:t>
                  </w:r>
                  <w:r>
                    <w:t>en</w:t>
                  </w:r>
                  <w:r w:rsidRPr="00E36946">
                    <w:t xml:space="preserve"> (sollten nicht thematisiert w</w:t>
                  </w:r>
                  <w:r>
                    <w:t>e</w:t>
                  </w:r>
                  <w:r w:rsidRPr="00E36946">
                    <w:t>rden)</w:t>
                  </w:r>
                  <w:r>
                    <w:t>:</w:t>
                  </w:r>
                </w:p>
                <w:p w:rsidR="003E687E" w:rsidRPr="00E36946" w:rsidRDefault="003E687E" w:rsidP="00E36946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 </w:t>
                  </w:r>
                  <w:proofErr w:type="spellStart"/>
                  <w:r w:rsidRPr="00E36946">
                    <w:rPr>
                      <w:lang w:val="en-US"/>
                    </w:rPr>
                    <w:t>AgCl</w:t>
                  </w:r>
                  <w:proofErr w:type="spellEnd"/>
                  <w:r w:rsidRPr="00E36946">
                    <w:rPr>
                      <w:lang w:val="en-US"/>
                    </w:rPr>
                    <w:t xml:space="preserve"> </w:t>
                  </w:r>
                  <w:r w:rsidRPr="00E36946">
                    <w:rPr>
                      <w:vertAlign w:val="subscript"/>
                      <w:lang w:val="en-US"/>
                    </w:rPr>
                    <w:t>(s)</w:t>
                  </w:r>
                  <w:r w:rsidRPr="00E36946">
                    <w:rPr>
                      <w:lang w:val="en-US"/>
                    </w:rPr>
                    <w:t xml:space="preserve"> ↓</w:t>
                  </w:r>
                  <w:r>
                    <w:rPr>
                      <w:lang w:val="en-US"/>
                    </w:rPr>
                    <w:t xml:space="preserve">    +   →   2 Ag </w:t>
                  </w:r>
                  <w:r w:rsidRPr="00E36946">
                    <w:rPr>
                      <w:vertAlign w:val="subscript"/>
                      <w:lang w:val="en-US"/>
                    </w:rPr>
                    <w:t>(s)</w:t>
                  </w:r>
                  <w:r>
                    <w:rPr>
                      <w:lang w:val="en-US"/>
                    </w:rPr>
                    <w:t xml:space="preserve">   +   Cl</w:t>
                  </w:r>
                  <w:r w:rsidRPr="00E36946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</w:t>
                  </w:r>
                  <w:r w:rsidRPr="00E36946">
                    <w:rPr>
                      <w:vertAlign w:val="subscript"/>
                      <w:lang w:val="en-US"/>
                    </w:rPr>
                    <w:t>(g)</w:t>
                  </w:r>
                </w:p>
                <w:p w:rsidR="003E687E" w:rsidRDefault="003E687E" w:rsidP="00E36946">
                  <w:pPr>
                    <w:spacing w:after="0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2 </w:t>
                  </w:r>
                  <w:proofErr w:type="spellStart"/>
                  <w:r w:rsidRPr="00E36946">
                    <w:rPr>
                      <w:lang w:val="en-US"/>
                    </w:rPr>
                    <w:t>Ag</w:t>
                  </w:r>
                  <w:r>
                    <w:rPr>
                      <w:lang w:val="en-US"/>
                    </w:rPr>
                    <w:t>Br</w:t>
                  </w:r>
                  <w:proofErr w:type="spellEnd"/>
                  <w:r w:rsidRPr="00E36946">
                    <w:rPr>
                      <w:lang w:val="en-US"/>
                    </w:rPr>
                    <w:t xml:space="preserve"> </w:t>
                  </w:r>
                  <w:r w:rsidRPr="00E36946">
                    <w:rPr>
                      <w:vertAlign w:val="subscript"/>
                      <w:lang w:val="en-US"/>
                    </w:rPr>
                    <w:t>(s)</w:t>
                  </w:r>
                  <w:r w:rsidRPr="00E36946">
                    <w:rPr>
                      <w:lang w:val="en-US"/>
                    </w:rPr>
                    <w:t xml:space="preserve"> ↓</w:t>
                  </w:r>
                  <w:r>
                    <w:rPr>
                      <w:lang w:val="en-US"/>
                    </w:rPr>
                    <w:t xml:space="preserve">   +   →   2 Ag </w:t>
                  </w:r>
                  <w:r w:rsidRPr="00E36946">
                    <w:rPr>
                      <w:vertAlign w:val="subscript"/>
                      <w:lang w:val="en-US"/>
                    </w:rPr>
                    <w:t>(s)</w:t>
                  </w:r>
                  <w:r>
                    <w:rPr>
                      <w:lang w:val="en-US"/>
                    </w:rPr>
                    <w:t xml:space="preserve">   +   Br</w:t>
                  </w:r>
                  <w:r w:rsidRPr="00E36946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</w:t>
                  </w:r>
                  <w:r w:rsidRPr="00E36946">
                    <w:rPr>
                      <w:vertAlign w:val="subscript"/>
                      <w:lang w:val="en-US"/>
                    </w:rPr>
                    <w:t>(g)</w:t>
                  </w:r>
                </w:p>
                <w:p w:rsidR="000F65EC" w:rsidRPr="000F65EC" w:rsidRDefault="000F65EC" w:rsidP="00E36946">
                  <w:pPr>
                    <w:spacing w:after="0"/>
                  </w:pPr>
                  <w:r w:rsidRPr="000F65EC">
                    <w:t>Ein Iod-Stärke-Nachweis kann d</w:t>
                  </w:r>
                  <w:r>
                    <w:t>urchgeführt werden, um zu zeigen, dass sich kein Iod bildet.</w:t>
                  </w:r>
                </w:p>
              </w:txbxContent>
            </v:textbox>
            <w10:wrap type="square" anchorx="margin"/>
          </v:shape>
        </w:pict>
      </w:r>
      <w:r w:rsidR="00007E3B">
        <w:t>Literatur:</w:t>
      </w:r>
      <w:r w:rsidR="00007E3B">
        <w:tab/>
      </w:r>
      <w:r w:rsidR="00007E3B">
        <w:rPr>
          <w:rFonts w:asciiTheme="majorHAnsi" w:eastAsia="Times New Roman" w:hAnsiTheme="majorHAnsi" w:cs="Times New Roman"/>
          <w:color w:val="auto"/>
          <w:szCs w:val="24"/>
          <w:lang w:eastAsia="de-DE"/>
        </w:rPr>
        <w:tab/>
      </w:r>
      <w:r w:rsidR="00007E3B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H. Boeck, J. Elsner, H. </w:t>
      </w:r>
      <w:proofErr w:type="spellStart"/>
      <w:r w:rsidR="00007E3B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>Keune</w:t>
      </w:r>
      <w:proofErr w:type="spellEnd"/>
      <w:r w:rsidR="00007E3B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A. </w:t>
      </w:r>
      <w:proofErr w:type="spellStart"/>
      <w:r w:rsidR="00007E3B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>Kometz</w:t>
      </w:r>
      <w:proofErr w:type="spellEnd"/>
      <w:r w:rsidR="00007E3B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Eds., </w:t>
      </w:r>
      <w:r w:rsidR="00007E3B" w:rsidRPr="00B00AC6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Anorganische Chemie</w:t>
      </w:r>
      <w:r w:rsidR="00007E3B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Volk Und Wissen, Berlin, </w:t>
      </w:r>
      <w:r w:rsidR="00007E3B" w:rsidRPr="00B00AC6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2009</w:t>
      </w:r>
      <w:r w:rsidR="00007E3B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E36946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S. 284</w:t>
      </w:r>
      <w:r w:rsidR="00007E3B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</w:p>
    <w:p w:rsidR="00007E3B" w:rsidRDefault="00007E3B" w:rsidP="00E36946">
      <w:pPr>
        <w:spacing w:after="0"/>
        <w:rPr>
          <w:rFonts w:eastAsiaTheme="minorEastAsia"/>
        </w:rPr>
      </w:pPr>
    </w:p>
    <w:p w:rsidR="00C85D41" w:rsidRDefault="00E323B8" w:rsidP="00007E3B">
      <w:pPr>
        <w:pStyle w:val="berschrift2"/>
      </w:pPr>
      <w:r>
        <w:rPr>
          <w:noProof/>
          <w:lang w:eastAsia="de-DE"/>
        </w:rPr>
        <w:pict>
          <v:shape id="_x0000_s1174" type="#_x0000_t202" style="position:absolute;left:0;text-align:left;margin-left:-1.55pt;margin-top:41.9pt;width:462.45pt;height:40.95pt;z-index:251804672;mso-width-relative:margin;mso-height-relative:margin" fillcolor="white [3201]" strokecolor="#4bacc6 [3208]" strokeweight="1pt">
            <v:stroke dashstyle="dash"/>
            <v:shadow color="#868686"/>
            <v:textbox style="mso-next-textbox:#_x0000_s1174">
              <w:txbxContent>
                <w:p w:rsidR="003E687E" w:rsidRPr="00F31EBF" w:rsidRDefault="003E687E" w:rsidP="00C85D4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Silber durch Reduktion aus einer Silbernitratlösung ausfallen kann.</w:t>
                  </w:r>
                </w:p>
              </w:txbxContent>
            </v:textbox>
            <w10:wrap type="square"/>
          </v:shape>
        </w:pict>
      </w:r>
      <w:bookmarkStart w:id="3" w:name="_Toc426466377"/>
      <w:r w:rsidR="00C85D41">
        <w:t xml:space="preserve">V3 – </w:t>
      </w:r>
      <w:r w:rsidR="00E5537A">
        <w:t>Tollens-Probe</w:t>
      </w:r>
      <w:bookmarkEnd w:id="3"/>
    </w:p>
    <w:p w:rsidR="00007E3B" w:rsidRPr="00007E3B" w:rsidRDefault="00007E3B" w:rsidP="00007E3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85D41" w:rsidRPr="009C5E28" w:rsidTr="00C85D41">
        <w:tc>
          <w:tcPr>
            <w:tcW w:w="9322" w:type="dxa"/>
            <w:gridSpan w:val="9"/>
            <w:shd w:val="clear" w:color="auto" w:fill="4F81BD"/>
            <w:vAlign w:val="center"/>
          </w:tcPr>
          <w:p w:rsidR="00C85D41" w:rsidRPr="00F31EBF" w:rsidRDefault="00C85D41" w:rsidP="00C85D4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C85D41" w:rsidRPr="009C5E28" w:rsidTr="00C85D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007962" w:rsidRDefault="00900F38" w:rsidP="00900F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>Silbernitrat</w:t>
            </w:r>
            <w:r w:rsidR="007F2ABC" w:rsidRPr="00007962">
              <w:rPr>
                <w:sz w:val="20"/>
                <w:szCs w:val="20"/>
              </w:rPr>
              <w:t xml:space="preserve"> (c = 0,1 M)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007962" w:rsidRDefault="00900F38" w:rsidP="00900F38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 xml:space="preserve">H: 272 – 314 - 410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85D41" w:rsidRPr="00007962" w:rsidRDefault="00900F38" w:rsidP="00900F38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 xml:space="preserve">P: 273 – 280 - 301+330+331 - 305+351+338 - 309+310 </w:t>
            </w:r>
          </w:p>
        </w:tc>
      </w:tr>
      <w:tr w:rsidR="00900F38" w:rsidRPr="009C5E28" w:rsidTr="00C85D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0F38" w:rsidRPr="00007962" w:rsidRDefault="00900F38" w:rsidP="00900F38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>Ammoniak (</w:t>
            </w:r>
            <w:proofErr w:type="spellStart"/>
            <w:r w:rsidRPr="00007962">
              <w:rPr>
                <w:sz w:val="20"/>
                <w:szCs w:val="20"/>
              </w:rPr>
              <w:t>aq</w:t>
            </w:r>
            <w:proofErr w:type="spellEnd"/>
            <w:r w:rsidRPr="00007962">
              <w:rPr>
                <w:sz w:val="20"/>
                <w:szCs w:val="20"/>
              </w:rPr>
              <w:t>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0F38" w:rsidRPr="00007962" w:rsidRDefault="00900F38" w:rsidP="00900F38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 xml:space="preserve">H: 314 – 335 - 400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00F38" w:rsidRPr="00007962" w:rsidRDefault="00900F38" w:rsidP="00900F38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 xml:space="preserve">P: 273 – 280 - 301+330+331 - 304+340-305+351+338-309+310 </w:t>
            </w:r>
          </w:p>
        </w:tc>
      </w:tr>
      <w:tr w:rsidR="00900F38" w:rsidRPr="009C5E28" w:rsidTr="00C85D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0F38" w:rsidRPr="00007962" w:rsidRDefault="00900F38" w:rsidP="00900F38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0F38" w:rsidRPr="00007962" w:rsidRDefault="00900F38" w:rsidP="00900F38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00F38" w:rsidRPr="00007962" w:rsidRDefault="00900F38" w:rsidP="00900F38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>-</w:t>
            </w:r>
          </w:p>
        </w:tc>
      </w:tr>
      <w:tr w:rsidR="00900F38" w:rsidRPr="009C5E28" w:rsidTr="00C85D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0F38" w:rsidRPr="00007962" w:rsidRDefault="00900F38" w:rsidP="00900F38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00F38" w:rsidRPr="00007962" w:rsidRDefault="00900F38" w:rsidP="00900F38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 xml:space="preserve">H: 314 - 290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00F38" w:rsidRPr="00007962" w:rsidRDefault="00900F38" w:rsidP="00900F38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 xml:space="preserve">P: 273 – 280 - 301+330+331 - 304+340-305+351+338 - 309+310 </w:t>
            </w:r>
          </w:p>
        </w:tc>
      </w:tr>
      <w:tr w:rsidR="00C85D41" w:rsidRPr="00007962" w:rsidTr="00C85D4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007962" w:rsidRDefault="00C85D41" w:rsidP="00C85D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07962">
              <w:rPr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7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007962" w:rsidRDefault="00C85D41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007962" w:rsidRDefault="00C85D41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89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007962" w:rsidRDefault="00C85D41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007962" w:rsidRDefault="00C85D41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007962" w:rsidRDefault="00C85D41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2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007962" w:rsidRDefault="00C85D41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007962" w:rsidRDefault="00C85D41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4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85D41" w:rsidRPr="00007962" w:rsidRDefault="00C85D41" w:rsidP="00C85D41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D41" w:rsidRDefault="00C85D41" w:rsidP="00C85D41">
      <w:pPr>
        <w:tabs>
          <w:tab w:val="left" w:pos="1701"/>
          <w:tab w:val="left" w:pos="1985"/>
        </w:tabs>
        <w:ind w:left="1980" w:hanging="1980"/>
      </w:pPr>
    </w:p>
    <w:p w:rsidR="00C85D41" w:rsidRDefault="00C85D41" w:rsidP="00C85D4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900F38">
        <w:t>2 x 250 mL Bechergläser, Rundkolben, Messzylinder, Kristallschale, Hei</w:t>
      </w:r>
      <w:r w:rsidR="00900F38">
        <w:t>z</w:t>
      </w:r>
      <w:r w:rsidR="00900F38">
        <w:t xml:space="preserve">platte, </w:t>
      </w:r>
      <w:proofErr w:type="spellStart"/>
      <w:r w:rsidR="00900F38">
        <w:t>Glasstab</w:t>
      </w:r>
      <w:proofErr w:type="spellEnd"/>
      <w:r w:rsidR="00900F38">
        <w:t>, Spatel</w:t>
      </w:r>
      <w:r w:rsidR="00D91F33">
        <w:t>, Stativmaterial.</w:t>
      </w:r>
    </w:p>
    <w:p w:rsidR="00C85D41" w:rsidRPr="00ED07C2" w:rsidRDefault="00900F38" w:rsidP="00C85D4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Silbernitrat</w:t>
      </w:r>
      <w:r w:rsidR="007F2ABC">
        <w:t xml:space="preserve"> </w:t>
      </w:r>
      <w:r w:rsidR="007F2ABC">
        <w:rPr>
          <w:sz w:val="20"/>
        </w:rPr>
        <w:t>(c = 0,1 M)</w:t>
      </w:r>
      <w:r>
        <w:t>, Glucose, konzentrierter Ammoniak, Natriumhydr</w:t>
      </w:r>
      <w:r>
        <w:t>o</w:t>
      </w:r>
      <w:r>
        <w:t>xid, destilliertes Wasser.</w:t>
      </w:r>
    </w:p>
    <w:p w:rsidR="00C85D41" w:rsidRDefault="00C85D41" w:rsidP="00C85D41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 w:rsidR="00900F38">
        <w:t xml:space="preserve">Im ersten Becherglas </w:t>
      </w:r>
      <w:r w:rsidR="00D91F33">
        <w:t>wird in 50 mL destilliertem Wasser 1 g Silbernitrat gelöst. Im zweiten Becherglas werden 0,2 g Glucose und 0,5 g (ca. 5 Plät</w:t>
      </w:r>
      <w:r w:rsidR="00D91F33">
        <w:t>z</w:t>
      </w:r>
      <w:r w:rsidR="00D91F33">
        <w:t xml:space="preserve">chen) Natriumhydroxid gelöst. Mit der Heizplatte und der Kristallschale wird ein 30 - 40°C warmes Wasserbad vorbereitet. Mit dem Stativ wird der Rundkolben im Wasserbad fixiert. Die Lösungen der beiden Bechergläser </w:t>
      </w:r>
      <w:r w:rsidR="00D91F33">
        <w:lastRenderedPageBreak/>
        <w:t>werden nacheinander in den Rundkolben gegeben. Danach sollte die App</w:t>
      </w:r>
      <w:r w:rsidR="00D91F33">
        <w:t>a</w:t>
      </w:r>
      <w:r w:rsidR="00D91F33">
        <w:t>ratur nicht mehr bewegt werden.</w:t>
      </w:r>
    </w:p>
    <w:p w:rsidR="00535DB4" w:rsidRDefault="00C85D41" w:rsidP="00535DB4">
      <w:pPr>
        <w:tabs>
          <w:tab w:val="left" w:pos="1701"/>
          <w:tab w:val="left" w:pos="1985"/>
        </w:tabs>
        <w:spacing w:after="0"/>
        <w:ind w:left="1980" w:hanging="1980"/>
      </w:pPr>
      <w:r>
        <w:t>Beobachtung:</w:t>
      </w:r>
      <w:r>
        <w:tab/>
      </w:r>
      <w:r>
        <w:tab/>
      </w:r>
      <w:r>
        <w:tab/>
      </w:r>
      <w:r w:rsidR="00D91F33">
        <w:t>Zunächst bildet sich im Rundkolben ein grauer Niederschlag, bevor am Rand des Rundkolbens sich ein silberfarbiger Stoff abscheidet.</w:t>
      </w:r>
    </w:p>
    <w:p w:rsidR="00C85D41" w:rsidRDefault="00C85D41" w:rsidP="00535DB4">
      <w:pPr>
        <w:keepNext/>
        <w:tabs>
          <w:tab w:val="left" w:pos="1701"/>
          <w:tab w:val="left" w:pos="1985"/>
        </w:tabs>
        <w:spacing w:after="0"/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372439" cy="1794294"/>
            <wp:effectExtent l="228600" t="0" r="208711" b="0"/>
            <wp:docPr id="98" name="Bild 4" descr="C:\Users\Dennis Roggenkämper\AppData\Local\Microsoft\Windows\Temporary Internet Files\Content.Word\IMG_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nis Roggenkämper\AppData\Local\Microsoft\Windows\Temporary Internet Files\Content.Word\IMG_230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2439" cy="179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41" w:rsidRPr="00247452" w:rsidRDefault="00C85D41" w:rsidP="00C85D41">
      <w:pPr>
        <w:pStyle w:val="Beschriftung"/>
        <w:jc w:val="center"/>
      </w:pPr>
      <w:r w:rsidRPr="00247452">
        <w:t xml:space="preserve">Abb. </w:t>
      </w:r>
      <w:r w:rsidR="00736B14">
        <w:t>3</w:t>
      </w:r>
      <w:r w:rsidRPr="00247452">
        <w:t xml:space="preserve"> – </w:t>
      </w:r>
      <w:r w:rsidR="007F2110">
        <w:rPr>
          <w:noProof/>
        </w:rPr>
        <w:t>Silberspiel</w:t>
      </w:r>
      <w:r w:rsidRPr="00247452">
        <w:rPr>
          <w:noProof/>
        </w:rPr>
        <w:t>.</w:t>
      </w:r>
    </w:p>
    <w:p w:rsidR="00C85D41" w:rsidRPr="00082B99" w:rsidRDefault="00C85D41" w:rsidP="00685EF6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t>Deutung:</w:t>
      </w:r>
      <w:r>
        <w:tab/>
      </w:r>
      <w:r>
        <w:tab/>
      </w:r>
      <w:r w:rsidR="00685EF6">
        <w:t>Glucose dient als Reduktionsmittel und reduziert die Silberionen, sodass sich elementares Silber an der Wand des Rundkolbens abscheidet. Gleic</w:t>
      </w:r>
      <w:r w:rsidR="00685EF6">
        <w:t>h</w:t>
      </w:r>
      <w:r w:rsidR="00685EF6">
        <w:t>zeitig wird Glucose oxidiert.</w:t>
      </w:r>
    </w:p>
    <w:p w:rsidR="00C85D41" w:rsidRDefault="00C85D41" w:rsidP="00C85D41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685EF6">
        <w:t>Der Silberspiegel kann, wenn gewünscht, mit Salpetersäure entfernt we</w:t>
      </w:r>
      <w:r w:rsidR="00685EF6">
        <w:t>r</w:t>
      </w:r>
      <w:r w:rsidR="00685EF6">
        <w:t xml:space="preserve">den. Die Rückstände werden in den Schwermetallbehälter </w:t>
      </w:r>
      <w:r w:rsidR="007F2ABC">
        <w:t>oder den Sa</w:t>
      </w:r>
      <w:r w:rsidR="007F2ABC">
        <w:t>m</w:t>
      </w:r>
      <w:r w:rsidR="007F2ABC">
        <w:t xml:space="preserve">melbehälter für silbrige Abfälle </w:t>
      </w:r>
      <w:r w:rsidR="00685EF6">
        <w:t>gegeben.</w:t>
      </w:r>
    </w:p>
    <w:p w:rsidR="00B00AC6" w:rsidRDefault="00E323B8" w:rsidP="00B00AC6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 w:rsidRPr="00E323B8">
        <w:rPr>
          <w:rFonts w:eastAsiaTheme="minorEastAsia"/>
          <w:noProof/>
          <w:lang w:eastAsia="de-DE"/>
        </w:rPr>
        <w:pict>
          <v:shape id="_x0000_s1184" type="#_x0000_t202" style="position:absolute;left:0;text-align:left;margin-left:1.85pt;margin-top:51.05pt;width:456.25pt;height:62.55pt;z-index:251812864;mso-position-horizontal-relative:margin;mso-width-relative:margin;mso-height-relative:margin" strokecolor="#c0504d" strokeweight="1pt">
            <v:stroke dashstyle="dash"/>
            <v:shadow color="#868686"/>
            <v:textbox style="mso-next-textbox:#_x0000_s1184">
              <w:txbxContent>
                <w:p w:rsidR="003E687E" w:rsidRPr="00685EF6" w:rsidRDefault="003E687E" w:rsidP="00685EF6">
                  <w:r>
                    <w:t>Der Versuch zeigt zwar gut, dass elementares Silber ausgefällt werden kann, allerdings sollte der Versuch erst demonstriert werden, wenn Aldehyde thematisiert werden, da die Silbe</w:t>
                  </w:r>
                  <w:r>
                    <w:t>r</w:t>
                  </w:r>
                  <w:r>
                    <w:t>spiegelprobe eigentlich der klassische Nachweis</w:t>
                  </w:r>
                  <w:r w:rsidR="00535DB4">
                    <w:t xml:space="preserve"> von </w:t>
                  </w:r>
                  <w:proofErr w:type="spellStart"/>
                  <w:r w:rsidR="00535DB4">
                    <w:t>Aldehydgruppen</w:t>
                  </w:r>
                  <w:proofErr w:type="spellEnd"/>
                  <w:r w:rsidR="00535DB4">
                    <w:t xml:space="preserve"> ist.</w:t>
                  </w:r>
                </w:p>
              </w:txbxContent>
            </v:textbox>
            <w10:wrap type="square" anchorx="margin"/>
          </v:shape>
        </w:pict>
      </w:r>
      <w:r w:rsidR="00C85D41">
        <w:t>Literatur:</w:t>
      </w:r>
      <w:r w:rsidR="00C85D41">
        <w:tab/>
      </w:r>
      <w:r w:rsidR="00B00AC6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H. Boeck, J. Elsner, H. </w:t>
      </w:r>
      <w:proofErr w:type="spellStart"/>
      <w:r w:rsidR="00B00AC6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>Keune</w:t>
      </w:r>
      <w:proofErr w:type="spellEnd"/>
      <w:r w:rsidR="00B00AC6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A. </w:t>
      </w:r>
      <w:proofErr w:type="spellStart"/>
      <w:r w:rsidR="00B00AC6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>Kometz</w:t>
      </w:r>
      <w:proofErr w:type="spellEnd"/>
      <w:r w:rsidR="00B00AC6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Eds., </w:t>
      </w:r>
      <w:r w:rsidR="00B00AC6" w:rsidRPr="00B00AC6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Anorganische Chemie</w:t>
      </w:r>
      <w:r w:rsidR="00B00AC6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Volk Und Wissen, Berlin, </w:t>
      </w:r>
      <w:r w:rsidR="00B00AC6" w:rsidRPr="00B00AC6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2009</w:t>
      </w:r>
      <w:r w:rsidR="00B00AC6" w:rsidRP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B00AC6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S. 281.</w:t>
      </w:r>
    </w:p>
    <w:p w:rsidR="00535DB4" w:rsidRPr="00B00AC6" w:rsidRDefault="00535DB4" w:rsidP="00535DB4">
      <w:pPr>
        <w:spacing w:after="0"/>
        <w:ind w:left="1985" w:hanging="1985"/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</w:pPr>
    </w:p>
    <w:p w:rsidR="00B619BB" w:rsidRDefault="00984EF9" w:rsidP="005669B2">
      <w:pPr>
        <w:pStyle w:val="berschrift1"/>
      </w:pPr>
      <w:bookmarkStart w:id="4" w:name="_Toc426466378"/>
      <w:r>
        <w:t xml:space="preserve">Weitere </w:t>
      </w:r>
      <w:r w:rsidR="00994634">
        <w:t>Schülerversuch</w:t>
      </w:r>
      <w:r>
        <w:t>e</w:t>
      </w:r>
      <w:bookmarkEnd w:id="4"/>
    </w:p>
    <w:p w:rsidR="00AE04F6" w:rsidRPr="00984EF9" w:rsidRDefault="00E323B8" w:rsidP="00AE04F6">
      <w:pPr>
        <w:pStyle w:val="berschrift2"/>
      </w:pPr>
      <w:r>
        <w:rPr>
          <w:noProof/>
          <w:lang w:eastAsia="de-DE"/>
        </w:rPr>
        <w:pict>
          <v:shape id="_x0000_s1165" type="#_x0000_t202" style="position:absolute;left:0;text-align:left;margin-left:-.05pt;margin-top:31.45pt;width:462.45pt;height:40.25pt;z-index:251794432;mso-width-relative:margin;mso-height-relative:margin" fillcolor="white [3201]" strokecolor="#4bacc6 [3208]" strokeweight="1pt">
            <v:stroke dashstyle="dash"/>
            <v:shadow color="#868686"/>
            <v:textbox style="mso-next-textbox:#_x0000_s1165">
              <w:txbxContent>
                <w:p w:rsidR="003E687E" w:rsidRPr="00F31EBF" w:rsidRDefault="003E687E" w:rsidP="00AE04F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das Leitungs- und Minera</w:t>
                  </w:r>
                  <w:r w:rsidR="007F2ABC">
                    <w:rPr>
                      <w:color w:val="auto"/>
                    </w:rPr>
                    <w:t xml:space="preserve">lwasser </w:t>
                  </w:r>
                  <w:proofErr w:type="spellStart"/>
                  <w:r w:rsidR="007F2ABC">
                    <w:rPr>
                      <w:color w:val="auto"/>
                    </w:rPr>
                    <w:t>Calciumionen</w:t>
                  </w:r>
                  <w:proofErr w:type="spellEnd"/>
                  <w:r w:rsidR="007F2ABC">
                    <w:rPr>
                      <w:color w:val="auto"/>
                    </w:rPr>
                    <w:t xml:space="preserve"> enthalten und dass das Wasser mit Oxalat enthärtet werden kann.</w:t>
                  </w:r>
                </w:p>
              </w:txbxContent>
            </v:textbox>
            <w10:wrap type="square"/>
          </v:shape>
        </w:pict>
      </w:r>
      <w:bookmarkStart w:id="5" w:name="_Toc426466379"/>
      <w:r w:rsidR="00AE04F6">
        <w:t xml:space="preserve">V1 – </w:t>
      </w:r>
      <w:r w:rsidR="00E5537A">
        <w:t xml:space="preserve">Ausfällen von </w:t>
      </w:r>
      <w:proofErr w:type="spellStart"/>
      <w:r w:rsidR="00E5537A">
        <w:t>Calciumoxalat</w:t>
      </w:r>
      <w:proofErr w:type="spellEnd"/>
      <w:r w:rsidR="00E5537A">
        <w:t xml:space="preserve"> aus Mineralwasser</w:t>
      </w:r>
      <w:bookmarkEnd w:id="5"/>
    </w:p>
    <w:p w:rsidR="007F2ABC" w:rsidRPr="007F2ABC" w:rsidRDefault="007F2ABC" w:rsidP="007F2ABC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E04F6" w:rsidRPr="009C5E28" w:rsidTr="004C1303">
        <w:tc>
          <w:tcPr>
            <w:tcW w:w="9322" w:type="dxa"/>
            <w:gridSpan w:val="9"/>
            <w:shd w:val="clear" w:color="auto" w:fill="4F81BD"/>
            <w:vAlign w:val="center"/>
          </w:tcPr>
          <w:p w:rsidR="00AE04F6" w:rsidRPr="00F31EBF" w:rsidRDefault="00AE04F6" w:rsidP="004C130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E04F6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007962" w:rsidRDefault="00C95295" w:rsidP="004C13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>Natriumoxalat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007962" w:rsidRDefault="00AE04F6" w:rsidP="005819A9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 xml:space="preserve">H: </w:t>
            </w:r>
            <w:r w:rsidR="005819A9" w:rsidRPr="00007962">
              <w:rPr>
                <w:sz w:val="20"/>
                <w:szCs w:val="20"/>
              </w:rPr>
              <w:t>3</w:t>
            </w:r>
            <w:r w:rsidR="00C95295" w:rsidRPr="00007962">
              <w:rPr>
                <w:sz w:val="20"/>
                <w:szCs w:val="20"/>
              </w:rPr>
              <w:t>02 - 312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04F6" w:rsidRPr="00007962" w:rsidRDefault="00AE04F6" w:rsidP="00C95295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 xml:space="preserve">P: </w:t>
            </w:r>
            <w:r w:rsidR="00C95295" w:rsidRPr="00007962">
              <w:rPr>
                <w:sz w:val="20"/>
                <w:szCs w:val="20"/>
              </w:rPr>
              <w:t>262</w:t>
            </w:r>
          </w:p>
        </w:tc>
      </w:tr>
      <w:tr w:rsidR="00AE04F6" w:rsidRPr="009C5E28" w:rsidTr="004C130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lastRenderedPageBreak/>
              <w:drawing>
                <wp:inline distT="0" distB="0" distL="0" distR="0">
                  <wp:extent cx="504000" cy="504000"/>
                  <wp:effectExtent l="19050" t="0" r="0" b="0"/>
                  <wp:docPr id="46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48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</w:p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C95295">
        <w:t>4 Reagenzgläser, Reagenzglasständer</w:t>
      </w:r>
      <w:r w:rsidR="007F2110">
        <w:t>, Pasteurpipette.</w:t>
      </w:r>
    </w:p>
    <w:p w:rsidR="00AE04F6" w:rsidRPr="00ED07C2" w:rsidRDefault="00AE04F6" w:rsidP="00AE04F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C95295">
        <w:t>Natriumoxalat, destilliertes Wasser, Leitungswasser, Mineralwasser.</w:t>
      </w:r>
    </w:p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 w:rsidR="00C95295">
        <w:t>Ein Reagenzglas wird zur Hälfte mit destilliertem Wasser gefüllt und mit einem Spatel Natriumoxalat versetzt. Die weiteren drei Reagenzgläser werden ca. 2 cm hoch mit destilliertem Wasser, Leitungswasser und Min</w:t>
      </w:r>
      <w:r w:rsidR="00C95295">
        <w:t>e</w:t>
      </w:r>
      <w:r w:rsidR="007F2110">
        <w:t xml:space="preserve">ralwasser </w:t>
      </w:r>
      <w:proofErr w:type="spellStart"/>
      <w:r w:rsidR="007F2110">
        <w:t>befüllt</w:t>
      </w:r>
      <w:proofErr w:type="spellEnd"/>
      <w:r w:rsidR="00C95295">
        <w:t>.</w:t>
      </w:r>
      <w:r w:rsidR="007F2110">
        <w:t xml:space="preserve"> Die drei Reagenzgläser werden mit 10 Tropfen der Natr</w:t>
      </w:r>
      <w:r w:rsidR="007F2110">
        <w:t>i</w:t>
      </w:r>
      <w:r w:rsidR="007F2110">
        <w:t>umoxalat-Lösung versetzt.</w:t>
      </w:r>
    </w:p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7F2110">
        <w:t>Das destillierte Wasser trübt sich durch Zugabe von Natriumoxalat nicht, beim Leitungswasser fällt etwas farbloser Niederschlag aus und beim M</w:t>
      </w:r>
      <w:r w:rsidR="007F2110">
        <w:t>i</w:t>
      </w:r>
      <w:r w:rsidR="007F2110">
        <w:t>neralwasser fällt ein deutlicher farbloser Niederschlag aus</w:t>
      </w:r>
      <w:r>
        <w:t>.</w:t>
      </w:r>
    </w:p>
    <w:p w:rsidR="00AE04F6" w:rsidRDefault="00D84047" w:rsidP="00AE04F6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678911" cy="1492370"/>
            <wp:effectExtent l="19050" t="0" r="0" b="0"/>
            <wp:docPr id="58" name="Bild 32" descr="C:\Users\Dennis Roggenkämper\AppData\Local\Microsoft\Windows\Temporary Internet Files\Content.Word\IMG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nnis Roggenkämper\AppData\Local\Microsoft\Windows\Temporary Internet Files\Content.Word\IMG_220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9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F6" w:rsidRPr="00247452" w:rsidRDefault="007F2110" w:rsidP="00AE04F6">
      <w:pPr>
        <w:pStyle w:val="Beschriftung"/>
        <w:jc w:val="center"/>
      </w:pPr>
      <w:r>
        <w:t>Abb. 4</w:t>
      </w:r>
      <w:r w:rsidR="00AE04F6" w:rsidRPr="00247452">
        <w:t xml:space="preserve"> – </w:t>
      </w:r>
      <w:r>
        <w:rPr>
          <w:noProof/>
        </w:rPr>
        <w:t>Niederschlagsbildung bei Leitungswasser und Mineralwasser</w:t>
      </w:r>
      <w:r w:rsidR="00AE04F6" w:rsidRPr="00247452">
        <w:rPr>
          <w:noProof/>
        </w:rPr>
        <w:t>.</w:t>
      </w:r>
    </w:p>
    <w:p w:rsidR="00AE04F6" w:rsidRPr="00F125CD" w:rsidRDefault="00AE04F6" w:rsidP="00F125CD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t>Deutung:</w:t>
      </w:r>
      <w:r>
        <w:tab/>
      </w:r>
      <w:r>
        <w:tab/>
      </w:r>
      <w:proofErr w:type="spellStart"/>
      <w:r w:rsidR="00F125CD">
        <w:t>Calciumoxalat</w:t>
      </w:r>
      <w:proofErr w:type="spellEnd"/>
      <w:r w:rsidR="00F125CD">
        <w:t xml:space="preserve"> ist in Wasser schlecht löslich. Durch Zugabe von </w:t>
      </w:r>
      <w:proofErr w:type="spellStart"/>
      <w:r w:rsidR="00F125CD">
        <w:t>Natriumoxalatlösung</w:t>
      </w:r>
      <w:proofErr w:type="spellEnd"/>
      <w:r w:rsidR="00F125CD">
        <w:t xml:space="preserve"> fällt ein schwerlöslicher Niederschlag aus. Das desti</w:t>
      </w:r>
      <w:r w:rsidR="00F125CD">
        <w:t>l</w:t>
      </w:r>
      <w:r w:rsidR="00F125CD">
        <w:t xml:space="preserve">lierte Wasser enthält keine </w:t>
      </w:r>
      <w:proofErr w:type="spellStart"/>
      <w:r w:rsidR="00F125CD">
        <w:t>Calciumteilchen</w:t>
      </w:r>
      <w:proofErr w:type="spellEnd"/>
      <w:r w:rsidR="00F125CD">
        <w:t>, sodass kein Niederschlag au</w:t>
      </w:r>
      <w:r w:rsidR="00F125CD">
        <w:t>s</w:t>
      </w:r>
      <w:r w:rsidR="00F125CD">
        <w:t>fällt.</w:t>
      </w:r>
    </w:p>
    <w:p w:rsidR="00AE04F6" w:rsidRDefault="00AE04F6" w:rsidP="00AE04F6">
      <w:pPr>
        <w:spacing w:line="276" w:lineRule="auto"/>
        <w:ind w:left="1985" w:hanging="1985"/>
        <w:jc w:val="left"/>
      </w:pPr>
      <w:r>
        <w:t>Entsorgung:</w:t>
      </w:r>
      <w:r>
        <w:tab/>
        <w:t xml:space="preserve">Die Reaktionsprodukte können </w:t>
      </w:r>
      <w:r w:rsidR="00D84047">
        <w:t>werden im Abfluss entsorgt</w:t>
      </w:r>
      <w:r>
        <w:t>.</w:t>
      </w:r>
    </w:p>
    <w:p w:rsidR="003E687E" w:rsidRPr="00E5537A" w:rsidRDefault="00E323B8" w:rsidP="007F2ABC">
      <w:pPr>
        <w:spacing w:after="0"/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rPr>
          <w:rFonts w:asciiTheme="majorHAnsi" w:eastAsia="Times New Roman" w:hAnsiTheme="majorHAnsi" w:cs="Times New Roman"/>
          <w:noProof/>
          <w:color w:val="auto"/>
          <w:szCs w:val="24"/>
          <w:lang w:eastAsia="de-DE"/>
        </w:rPr>
        <w:pict>
          <v:shape id="_x0000_s1185" type="#_x0000_t202" style="position:absolute;left:0;text-align:left;margin-left:-1.35pt;margin-top:41.4pt;width:456.25pt;height:62.45pt;z-index:251813888;mso-position-horizontal-relative:margin;mso-width-relative:margin;mso-height-relative:margin" strokecolor="#c0504d" strokeweight="1pt">
            <v:stroke dashstyle="dash"/>
            <v:shadow color="#868686"/>
            <v:textbox style="mso-next-textbox:#_x0000_s1185">
              <w:txbxContent>
                <w:p w:rsidR="003E687E" w:rsidRDefault="003E687E" w:rsidP="003E687E">
                  <w:pPr>
                    <w:spacing w:after="0"/>
                  </w:pPr>
                  <w:r>
                    <w:t>Die Reaktionsgleichung sollte ausgelassen werden:</w:t>
                  </w:r>
                </w:p>
                <w:p w:rsidR="003E687E" w:rsidRDefault="000F65EC" w:rsidP="003E687E">
                  <w:pPr>
                    <w:spacing w:after="0"/>
                    <w:rPr>
                      <w:lang w:val="en-US"/>
                    </w:rPr>
                  </w:pPr>
                  <w:r w:rsidRPr="000F65EC">
                    <w:rPr>
                      <w:lang w:val="en-US"/>
                    </w:rPr>
                    <w:t>Ca</w:t>
                  </w:r>
                  <w:r w:rsidRPr="000F65EC">
                    <w:rPr>
                      <w:vertAlign w:val="superscript"/>
                      <w:lang w:val="en-US"/>
                    </w:rPr>
                    <w:t>2+</w:t>
                  </w:r>
                  <w:r w:rsidRPr="000F65EC">
                    <w:rPr>
                      <w:lang w:val="en-US"/>
                    </w:rPr>
                    <w:t xml:space="preserve"> </w:t>
                  </w:r>
                  <w:r w:rsidRPr="000F65EC">
                    <w:rPr>
                      <w:vertAlign w:val="subscript"/>
                      <w:lang w:val="en-US"/>
                    </w:rPr>
                    <w:t>(</w:t>
                  </w:r>
                  <w:proofErr w:type="spellStart"/>
                  <w:r w:rsidRPr="000F65EC">
                    <w:rPr>
                      <w:vertAlign w:val="subscript"/>
                      <w:lang w:val="en-US"/>
                    </w:rPr>
                    <w:t>aq</w:t>
                  </w:r>
                  <w:proofErr w:type="spellEnd"/>
                  <w:r w:rsidRPr="000F65EC">
                    <w:rPr>
                      <w:vertAlign w:val="subscript"/>
                      <w:lang w:val="en-US"/>
                    </w:rPr>
                    <w:t>)</w:t>
                  </w:r>
                  <w:r w:rsidRPr="000F65EC">
                    <w:rPr>
                      <w:lang w:val="en-US"/>
                    </w:rPr>
                    <w:t xml:space="preserve">   +   (OOC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</m:oMath>
                  <w:r w:rsidRPr="000F65EC">
                    <w:rPr>
                      <w:lang w:val="en-US"/>
                    </w:rPr>
                    <w:t>COO</w:t>
                  </w:r>
                  <w:proofErr w:type="gramStart"/>
                  <w:r w:rsidRPr="000F65EC">
                    <w:rPr>
                      <w:lang w:val="en-US"/>
                    </w:rPr>
                    <w:t>)</w:t>
                  </w:r>
                  <w:r w:rsidRPr="000F65EC">
                    <w:rPr>
                      <w:vertAlign w:val="superscript"/>
                      <w:lang w:val="en-US"/>
                    </w:rPr>
                    <w:t>2</w:t>
                  </w:r>
                  <w:proofErr w:type="gramEnd"/>
                  <w:r w:rsidRPr="000F65EC">
                    <w:rPr>
                      <w:vertAlign w:val="superscript"/>
                      <w:lang w:val="en-US"/>
                    </w:rPr>
                    <w:t>-</w:t>
                  </w:r>
                  <w:r w:rsidRPr="000F65EC">
                    <w:rPr>
                      <w:lang w:val="en-US"/>
                    </w:rPr>
                    <w:t xml:space="preserve"> </w:t>
                  </w:r>
                  <w:r w:rsidRPr="000F65EC">
                    <w:rPr>
                      <w:vertAlign w:val="subscript"/>
                      <w:lang w:val="en-US"/>
                    </w:rPr>
                    <w:t>(</w:t>
                  </w:r>
                  <w:proofErr w:type="spellStart"/>
                  <w:r w:rsidRPr="000F65EC">
                    <w:rPr>
                      <w:vertAlign w:val="subscript"/>
                      <w:lang w:val="en-US"/>
                    </w:rPr>
                    <w:t>aq</w:t>
                  </w:r>
                  <w:proofErr w:type="spellEnd"/>
                  <w:r w:rsidRPr="000F65EC">
                    <w:rPr>
                      <w:vertAlign w:val="subscript"/>
                      <w:lang w:val="en-US"/>
                    </w:rPr>
                    <w:t>)</w:t>
                  </w:r>
                  <w:r w:rsidRPr="000F65EC">
                    <w:rPr>
                      <w:lang w:val="en-US"/>
                    </w:rPr>
                    <w:t xml:space="preserve">   →</w:t>
                  </w:r>
                  <w:r>
                    <w:rPr>
                      <w:lang w:val="en-US"/>
                    </w:rPr>
                    <w:t xml:space="preserve">   (COO)</w:t>
                  </w:r>
                  <w:r w:rsidRPr="000F65EC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Ca </w:t>
                  </w:r>
                  <w:r w:rsidRPr="000F65EC">
                    <w:rPr>
                      <w:vertAlign w:val="subscript"/>
                      <w:lang w:val="en-US"/>
                    </w:rPr>
                    <w:t>(s)</w:t>
                  </w:r>
                  <w:r>
                    <w:rPr>
                      <w:lang w:val="en-US"/>
                    </w:rPr>
                    <w:t xml:space="preserve"> ↓</w:t>
                  </w:r>
                </w:p>
                <w:p w:rsidR="000F65EC" w:rsidRPr="000F65EC" w:rsidRDefault="000F65EC" w:rsidP="003E687E">
                  <w:pPr>
                    <w:spacing w:after="0"/>
                  </w:pPr>
                  <w:r w:rsidRPr="000F65EC">
                    <w:t>Mit starken Säuren kann der N</w:t>
                  </w:r>
                  <w:r>
                    <w:t>iederschlag wieder gelöst werden.</w:t>
                  </w:r>
                </w:p>
              </w:txbxContent>
            </v:textbox>
            <w10:wrap type="square" anchorx="margin"/>
          </v:shape>
        </w:pict>
      </w:r>
      <w:r w:rsidR="00AE04F6">
        <w:t>Literatur:</w:t>
      </w:r>
      <w:r w:rsidR="00AE04F6">
        <w:tab/>
      </w:r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H. Schmidkunz, W. Rentsch, </w:t>
      </w:r>
      <w:r w:rsidR="00AE04F6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Chemische Freihandversuche: K</w:t>
      </w:r>
      <w:r w:rsidR="00AE04F6" w:rsidRPr="00D018F8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leine Versuche mit großer Wirkung</w:t>
      </w:r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</w:t>
      </w:r>
      <w:proofErr w:type="spellStart"/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Aulis</w:t>
      </w:r>
      <w:proofErr w:type="spellEnd"/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Köln, </w:t>
      </w:r>
      <w:r w:rsidR="00AE04F6" w:rsidRPr="00D018F8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2011</w:t>
      </w:r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7F211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S.501</w:t>
      </w:r>
    </w:p>
    <w:sectPr w:rsidR="003E687E" w:rsidRPr="00E5537A" w:rsidSect="005B0270">
      <w:headerReference w:type="default" r:id="rId33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E7" w:rsidRDefault="002B00E7" w:rsidP="0086227B">
      <w:pPr>
        <w:spacing w:after="0" w:line="240" w:lineRule="auto"/>
      </w:pPr>
      <w:r>
        <w:separator/>
      </w:r>
    </w:p>
  </w:endnote>
  <w:endnote w:type="continuationSeparator" w:id="0">
    <w:p w:rsidR="002B00E7" w:rsidRDefault="002B00E7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7E" w:rsidRDefault="003E687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7E" w:rsidRDefault="003E687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7E" w:rsidRDefault="003E687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E7" w:rsidRDefault="002B00E7" w:rsidP="0086227B">
      <w:pPr>
        <w:spacing w:after="0" w:line="240" w:lineRule="auto"/>
      </w:pPr>
      <w:r>
        <w:separator/>
      </w:r>
    </w:p>
  </w:footnote>
  <w:footnote w:type="continuationSeparator" w:id="0">
    <w:p w:rsidR="002B00E7" w:rsidRDefault="002B00E7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7E" w:rsidRDefault="003E687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7E" w:rsidRPr="005B0270" w:rsidRDefault="003E687E" w:rsidP="005B027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7E" w:rsidRDefault="003E687E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3E687E" w:rsidRPr="0080101C" w:rsidRDefault="00E323B8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FA4893" w:rsidRPr="00FA4893">
            <w:rPr>
              <w:b/>
              <w:bCs/>
              <w:noProof/>
              <w:sz w:val="20"/>
            </w:rPr>
            <w:t>2</w:t>
          </w:r>
        </w:fldSimple>
        <w:r w:rsidR="003E687E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FA4893">
            <w:rPr>
              <w:noProof/>
            </w:rPr>
            <w:t>Weitere Schülerversuche</w:t>
          </w:r>
        </w:fldSimple>
        <w:r w:rsidR="003E687E" w:rsidRPr="0080101C">
          <w:rPr>
            <w:rFonts w:asciiTheme="majorHAnsi" w:hAnsiTheme="majorHAnsi"/>
            <w:sz w:val="20"/>
            <w:szCs w:val="20"/>
          </w:rPr>
          <w:tab/>
        </w:r>
        <w:r w:rsidR="003E687E" w:rsidRPr="0080101C">
          <w:rPr>
            <w:rFonts w:asciiTheme="majorHAnsi" w:hAnsiTheme="majorHAnsi"/>
            <w:sz w:val="20"/>
            <w:szCs w:val="20"/>
          </w:rPr>
          <w:tab/>
        </w:r>
        <w:r w:rsidR="003E687E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3E687E" w:rsidRPr="0080101C" w:rsidRDefault="00E323B8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3428"/>
    <w:multiLevelType w:val="hybridMultilevel"/>
    <w:tmpl w:val="336E6C5C"/>
    <w:lvl w:ilvl="0" w:tplc="094AD2B0">
      <w:start w:val="1"/>
      <w:numFmt w:val="upperRoman"/>
      <w:lvlText w:val="%1-"/>
      <w:lvlJc w:val="left"/>
      <w:pPr>
        <w:ind w:left="27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AF372DF"/>
    <w:multiLevelType w:val="hybridMultilevel"/>
    <w:tmpl w:val="2E9EB3E6"/>
    <w:lvl w:ilvl="0" w:tplc="79B24360">
      <w:start w:val="1"/>
      <w:numFmt w:val="upperRoman"/>
      <w:lvlText w:val="%1-"/>
      <w:lvlJc w:val="left"/>
      <w:pPr>
        <w:ind w:left="241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11"/>
  </w:num>
  <w:num w:numId="16">
    <w:abstractNumId w:val="2"/>
  </w:num>
  <w:num w:numId="17">
    <w:abstractNumId w:val="12"/>
  </w:num>
  <w:num w:numId="18">
    <w:abstractNumId w:val="4"/>
  </w:num>
  <w:num w:numId="19">
    <w:abstractNumId w:val="0"/>
  </w:num>
  <w:num w:numId="20">
    <w:abstractNumId w:val="5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25C"/>
    <w:rsid w:val="00007962"/>
    <w:rsid w:val="00007E3B"/>
    <w:rsid w:val="00007E3F"/>
    <w:rsid w:val="00011800"/>
    <w:rsid w:val="000137A3"/>
    <w:rsid w:val="00014E7D"/>
    <w:rsid w:val="00022871"/>
    <w:rsid w:val="00027A9C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82B99"/>
    <w:rsid w:val="000972FF"/>
    <w:rsid w:val="000B0523"/>
    <w:rsid w:val="000C4EB4"/>
    <w:rsid w:val="000D10FB"/>
    <w:rsid w:val="000D2C37"/>
    <w:rsid w:val="000D7381"/>
    <w:rsid w:val="000E0EBE"/>
    <w:rsid w:val="000E21A7"/>
    <w:rsid w:val="000E5A39"/>
    <w:rsid w:val="000E7DB1"/>
    <w:rsid w:val="000F5EEC"/>
    <w:rsid w:val="000F65EC"/>
    <w:rsid w:val="001022B4"/>
    <w:rsid w:val="0012481E"/>
    <w:rsid w:val="00125CEA"/>
    <w:rsid w:val="0013621E"/>
    <w:rsid w:val="001518B9"/>
    <w:rsid w:val="00153EA8"/>
    <w:rsid w:val="00157F3D"/>
    <w:rsid w:val="001923D0"/>
    <w:rsid w:val="001A7524"/>
    <w:rsid w:val="001B46E0"/>
    <w:rsid w:val="001C5EFC"/>
    <w:rsid w:val="001E7429"/>
    <w:rsid w:val="00206D6B"/>
    <w:rsid w:val="00213033"/>
    <w:rsid w:val="00216E3C"/>
    <w:rsid w:val="0023241F"/>
    <w:rsid w:val="002347FE"/>
    <w:rsid w:val="002375EF"/>
    <w:rsid w:val="00246184"/>
    <w:rsid w:val="00247452"/>
    <w:rsid w:val="00254F3F"/>
    <w:rsid w:val="00264F72"/>
    <w:rsid w:val="00270289"/>
    <w:rsid w:val="002806E1"/>
    <w:rsid w:val="0028080E"/>
    <w:rsid w:val="0028646F"/>
    <w:rsid w:val="002944CF"/>
    <w:rsid w:val="002A716F"/>
    <w:rsid w:val="002A7855"/>
    <w:rsid w:val="002B00E7"/>
    <w:rsid w:val="002B0B14"/>
    <w:rsid w:val="002C50D4"/>
    <w:rsid w:val="002E0F34"/>
    <w:rsid w:val="002E2DD3"/>
    <w:rsid w:val="002E38A0"/>
    <w:rsid w:val="002E5DD7"/>
    <w:rsid w:val="002E5FCC"/>
    <w:rsid w:val="002F25D2"/>
    <w:rsid w:val="002F38EE"/>
    <w:rsid w:val="002F3D6A"/>
    <w:rsid w:val="002F778D"/>
    <w:rsid w:val="00333702"/>
    <w:rsid w:val="0033677B"/>
    <w:rsid w:val="00336B3B"/>
    <w:rsid w:val="00337B69"/>
    <w:rsid w:val="00344BB7"/>
    <w:rsid w:val="00345293"/>
    <w:rsid w:val="00345F54"/>
    <w:rsid w:val="00375558"/>
    <w:rsid w:val="0038284A"/>
    <w:rsid w:val="003837C2"/>
    <w:rsid w:val="00384682"/>
    <w:rsid w:val="003B49C6"/>
    <w:rsid w:val="003B6962"/>
    <w:rsid w:val="003C5747"/>
    <w:rsid w:val="003D529E"/>
    <w:rsid w:val="003E687E"/>
    <w:rsid w:val="003E69AB"/>
    <w:rsid w:val="00401750"/>
    <w:rsid w:val="004102B8"/>
    <w:rsid w:val="0041565C"/>
    <w:rsid w:val="00416871"/>
    <w:rsid w:val="00421216"/>
    <w:rsid w:val="00434D4E"/>
    <w:rsid w:val="00434F30"/>
    <w:rsid w:val="00442EB1"/>
    <w:rsid w:val="00486C9F"/>
    <w:rsid w:val="0049087A"/>
    <w:rsid w:val="004944F3"/>
    <w:rsid w:val="004A10F2"/>
    <w:rsid w:val="004B200E"/>
    <w:rsid w:val="004B3E0E"/>
    <w:rsid w:val="004C1303"/>
    <w:rsid w:val="004C64A6"/>
    <w:rsid w:val="004D2994"/>
    <w:rsid w:val="004D321A"/>
    <w:rsid w:val="004E2773"/>
    <w:rsid w:val="004F1A17"/>
    <w:rsid w:val="004F64CD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35DB4"/>
    <w:rsid w:val="00544922"/>
    <w:rsid w:val="005650D4"/>
    <w:rsid w:val="005669B2"/>
    <w:rsid w:val="00573704"/>
    <w:rsid w:val="00574063"/>
    <w:rsid w:val="005745F8"/>
    <w:rsid w:val="0057596C"/>
    <w:rsid w:val="00576C62"/>
    <w:rsid w:val="005819A9"/>
    <w:rsid w:val="00591B02"/>
    <w:rsid w:val="00595177"/>
    <w:rsid w:val="005978FA"/>
    <w:rsid w:val="005A2E89"/>
    <w:rsid w:val="005A5A51"/>
    <w:rsid w:val="005B0270"/>
    <w:rsid w:val="005B1F71"/>
    <w:rsid w:val="005B23FC"/>
    <w:rsid w:val="005B60E3"/>
    <w:rsid w:val="005E1939"/>
    <w:rsid w:val="005E3970"/>
    <w:rsid w:val="005F1720"/>
    <w:rsid w:val="005F2176"/>
    <w:rsid w:val="0060228D"/>
    <w:rsid w:val="00626874"/>
    <w:rsid w:val="00631F0F"/>
    <w:rsid w:val="00637239"/>
    <w:rsid w:val="00654117"/>
    <w:rsid w:val="00672281"/>
    <w:rsid w:val="00681739"/>
    <w:rsid w:val="00682093"/>
    <w:rsid w:val="00685EF6"/>
    <w:rsid w:val="00690534"/>
    <w:rsid w:val="006938F4"/>
    <w:rsid w:val="006943C9"/>
    <w:rsid w:val="006968E6"/>
    <w:rsid w:val="006A0F35"/>
    <w:rsid w:val="006B3EC2"/>
    <w:rsid w:val="006C5B0D"/>
    <w:rsid w:val="006C7B24"/>
    <w:rsid w:val="006E32AF"/>
    <w:rsid w:val="006E451C"/>
    <w:rsid w:val="006F4715"/>
    <w:rsid w:val="00707392"/>
    <w:rsid w:val="0072123D"/>
    <w:rsid w:val="00736B14"/>
    <w:rsid w:val="00737FC0"/>
    <w:rsid w:val="00744823"/>
    <w:rsid w:val="00746773"/>
    <w:rsid w:val="00775EEC"/>
    <w:rsid w:val="0078071E"/>
    <w:rsid w:val="00790D3B"/>
    <w:rsid w:val="007A642D"/>
    <w:rsid w:val="007A7FA8"/>
    <w:rsid w:val="007D3F8F"/>
    <w:rsid w:val="007E586C"/>
    <w:rsid w:val="007E7412"/>
    <w:rsid w:val="007F0819"/>
    <w:rsid w:val="007F2110"/>
    <w:rsid w:val="007F2348"/>
    <w:rsid w:val="007F2ABC"/>
    <w:rsid w:val="00801678"/>
    <w:rsid w:val="008042F5"/>
    <w:rsid w:val="00815B8E"/>
    <w:rsid w:val="00815FB9"/>
    <w:rsid w:val="0082230A"/>
    <w:rsid w:val="00837114"/>
    <w:rsid w:val="0084302B"/>
    <w:rsid w:val="0086227B"/>
    <w:rsid w:val="008664DF"/>
    <w:rsid w:val="00870260"/>
    <w:rsid w:val="00875E5B"/>
    <w:rsid w:val="0088451A"/>
    <w:rsid w:val="00885CB2"/>
    <w:rsid w:val="00886EE0"/>
    <w:rsid w:val="00896D5A"/>
    <w:rsid w:val="008A284B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8F79B1"/>
    <w:rsid w:val="00900F38"/>
    <w:rsid w:val="00905459"/>
    <w:rsid w:val="00913D97"/>
    <w:rsid w:val="00936F75"/>
    <w:rsid w:val="0094350A"/>
    <w:rsid w:val="00946F4E"/>
    <w:rsid w:val="00954DC8"/>
    <w:rsid w:val="00961647"/>
    <w:rsid w:val="00966548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2C8"/>
    <w:rsid w:val="009B0D3F"/>
    <w:rsid w:val="009C6F21"/>
    <w:rsid w:val="009C7687"/>
    <w:rsid w:val="009D150C"/>
    <w:rsid w:val="009D26DA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15643"/>
    <w:rsid w:val="00A2136F"/>
    <w:rsid w:val="00A2301A"/>
    <w:rsid w:val="00A61671"/>
    <w:rsid w:val="00A7439F"/>
    <w:rsid w:val="00A75F0A"/>
    <w:rsid w:val="00A778C9"/>
    <w:rsid w:val="00A9073B"/>
    <w:rsid w:val="00A90BD6"/>
    <w:rsid w:val="00A9233D"/>
    <w:rsid w:val="00A96F52"/>
    <w:rsid w:val="00AA604B"/>
    <w:rsid w:val="00AA612B"/>
    <w:rsid w:val="00AD0C24"/>
    <w:rsid w:val="00AD7D1F"/>
    <w:rsid w:val="00AE04F6"/>
    <w:rsid w:val="00AE1230"/>
    <w:rsid w:val="00B00AC6"/>
    <w:rsid w:val="00B02829"/>
    <w:rsid w:val="00B21F20"/>
    <w:rsid w:val="00B32E27"/>
    <w:rsid w:val="00B433C0"/>
    <w:rsid w:val="00B51643"/>
    <w:rsid w:val="00B51B39"/>
    <w:rsid w:val="00B571E6"/>
    <w:rsid w:val="00B619BB"/>
    <w:rsid w:val="00B74965"/>
    <w:rsid w:val="00B901F6"/>
    <w:rsid w:val="00B93BBF"/>
    <w:rsid w:val="00B96C3C"/>
    <w:rsid w:val="00BA0E9B"/>
    <w:rsid w:val="00BA25F9"/>
    <w:rsid w:val="00BC2C6E"/>
    <w:rsid w:val="00BC4F56"/>
    <w:rsid w:val="00BC5DA2"/>
    <w:rsid w:val="00BD1D31"/>
    <w:rsid w:val="00BF2E3A"/>
    <w:rsid w:val="00BF7B08"/>
    <w:rsid w:val="00C0569E"/>
    <w:rsid w:val="00C10E22"/>
    <w:rsid w:val="00C12650"/>
    <w:rsid w:val="00C23319"/>
    <w:rsid w:val="00C364B2"/>
    <w:rsid w:val="00C428C7"/>
    <w:rsid w:val="00C4436F"/>
    <w:rsid w:val="00C460EB"/>
    <w:rsid w:val="00C502DB"/>
    <w:rsid w:val="00C51D56"/>
    <w:rsid w:val="00C66D91"/>
    <w:rsid w:val="00C85D41"/>
    <w:rsid w:val="00C95295"/>
    <w:rsid w:val="00CA6231"/>
    <w:rsid w:val="00CB2161"/>
    <w:rsid w:val="00CC26A4"/>
    <w:rsid w:val="00CD5E6C"/>
    <w:rsid w:val="00CE1F14"/>
    <w:rsid w:val="00CF0B61"/>
    <w:rsid w:val="00CF79FE"/>
    <w:rsid w:val="00D018F8"/>
    <w:rsid w:val="00D069A2"/>
    <w:rsid w:val="00D1194E"/>
    <w:rsid w:val="00D407E8"/>
    <w:rsid w:val="00D50049"/>
    <w:rsid w:val="00D54590"/>
    <w:rsid w:val="00D60010"/>
    <w:rsid w:val="00D75C00"/>
    <w:rsid w:val="00D76EE6"/>
    <w:rsid w:val="00D76F6F"/>
    <w:rsid w:val="00D84047"/>
    <w:rsid w:val="00D8431D"/>
    <w:rsid w:val="00D90F31"/>
    <w:rsid w:val="00D91F33"/>
    <w:rsid w:val="00D92822"/>
    <w:rsid w:val="00DA6545"/>
    <w:rsid w:val="00DC0309"/>
    <w:rsid w:val="00DC36C9"/>
    <w:rsid w:val="00DE18A7"/>
    <w:rsid w:val="00DE2A2B"/>
    <w:rsid w:val="00DE636A"/>
    <w:rsid w:val="00DF68D9"/>
    <w:rsid w:val="00E1266D"/>
    <w:rsid w:val="00E17CDE"/>
    <w:rsid w:val="00E22516"/>
    <w:rsid w:val="00E22D23"/>
    <w:rsid w:val="00E24354"/>
    <w:rsid w:val="00E26180"/>
    <w:rsid w:val="00E323B8"/>
    <w:rsid w:val="00E35FB4"/>
    <w:rsid w:val="00E36946"/>
    <w:rsid w:val="00E51037"/>
    <w:rsid w:val="00E54798"/>
    <w:rsid w:val="00E5537A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25CD"/>
    <w:rsid w:val="00F17765"/>
    <w:rsid w:val="00F17797"/>
    <w:rsid w:val="00F2604C"/>
    <w:rsid w:val="00F26486"/>
    <w:rsid w:val="00F31EBF"/>
    <w:rsid w:val="00F3487A"/>
    <w:rsid w:val="00F47AE6"/>
    <w:rsid w:val="00F74A95"/>
    <w:rsid w:val="00F849B0"/>
    <w:rsid w:val="00FA486B"/>
    <w:rsid w:val="00FA4893"/>
    <w:rsid w:val="00FA58C5"/>
    <w:rsid w:val="00FB3D74"/>
    <w:rsid w:val="00FC02BE"/>
    <w:rsid w:val="00FD1808"/>
    <w:rsid w:val="00FD644E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  <o:rules v:ext="edit">
        <o:r id="V:Rule3" type="connector" idref="#_x0000_s1187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customStyle="1" w:styleId="Default">
    <w:name w:val="Default"/>
    <w:rsid w:val="00900F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517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46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6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985034A1-D4EE-4BBA-B3E7-29E7789C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Dennis Roggenkämper</cp:lastModifiedBy>
  <cp:revision>21</cp:revision>
  <cp:lastPrinted>2015-08-04T21:30:00Z</cp:lastPrinted>
  <dcterms:created xsi:type="dcterms:W3CDTF">2015-07-28T08:50:00Z</dcterms:created>
  <dcterms:modified xsi:type="dcterms:W3CDTF">2015-08-20T08:35:00Z</dcterms:modified>
</cp:coreProperties>
</file>