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20" w:rsidRDefault="00495D20" w:rsidP="003D103D">
      <w:pPr>
        <w:pStyle w:val="berschrift1"/>
        <w:numPr>
          <w:ilvl w:val="0"/>
          <w:numId w:val="0"/>
        </w:numPr>
        <w:ind w:left="432" w:hanging="432"/>
      </w:pPr>
      <w:bookmarkStart w:id="0" w:name="_Toc426587736"/>
      <w:r>
        <w:t>Lehrerversuch – Aluminiumrecycling</w:t>
      </w:r>
      <w:bookmarkEnd w:id="0"/>
    </w:p>
    <w:p w:rsidR="00495D20" w:rsidRDefault="00495D20" w:rsidP="00495D20">
      <w:bookmarkStart w:id="1" w:name="_Toc425776595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95pt;margin-top:12.7pt;width:462.45pt;height:128.7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495D20" w:rsidRPr="00F31EBF" w:rsidRDefault="00495D20" w:rsidP="00495D2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Im diesem Versuch wird das Verfahren des Aluminiumrecyclings mittels Umschmelzen verei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facht nachgeahmt.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 das energieintensive Verfahren der Aluminiumgewinnung bekannt sein, um die Bedeutung des Aluminiumrecycelns einordnen zu können. Weiterhin bi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>tet sich zwecks einer umfassenderen Deutung ein vorangestellter Versuch an, in welchem pr</w:t>
                  </w:r>
                  <w:r>
                    <w:rPr>
                      <w:color w:val="auto"/>
                    </w:rPr>
                    <w:t>o</w:t>
                  </w:r>
                  <w:r>
                    <w:rPr>
                      <w:color w:val="auto"/>
                    </w:rPr>
                    <w:t>biert wird, Aluminium zu schmelzen. Der Versuch muss unbedingt von der Lehrkraft durchg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 xml:space="preserve">führt werden, da Natriumfluorid toxisch ist. </w:t>
                  </w:r>
                </w:p>
              </w:txbxContent>
            </v:textbox>
            <w10:wrap type="square"/>
          </v:shape>
        </w:pict>
      </w:r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95D20" w:rsidRPr="009C5E28" w:rsidTr="00F73945">
        <w:tc>
          <w:tcPr>
            <w:tcW w:w="9322" w:type="dxa"/>
            <w:gridSpan w:val="9"/>
            <w:shd w:val="clear" w:color="auto" w:fill="4F81BD"/>
            <w:vAlign w:val="center"/>
          </w:tcPr>
          <w:p w:rsidR="00495D20" w:rsidRPr="00F31EBF" w:rsidRDefault="00495D20" w:rsidP="00F73945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495D20" w:rsidRPr="009C5E28" w:rsidTr="00F73945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95D20" w:rsidRPr="009C5E28" w:rsidRDefault="00495D20" w:rsidP="00F73945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Natriumchlorid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95D20" w:rsidRPr="009C5E28" w:rsidRDefault="00495D20" w:rsidP="00F73945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95D20" w:rsidRPr="009C5E28" w:rsidRDefault="00495D20" w:rsidP="00F73945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495D20" w:rsidRPr="009C5E28" w:rsidTr="00F73945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95D20" w:rsidRPr="009C5E28" w:rsidRDefault="00495D20" w:rsidP="00F73945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Kaliumchlorid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95D20" w:rsidRPr="009C5E28" w:rsidRDefault="00495D20" w:rsidP="00F73945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95D20" w:rsidRPr="009C5E28" w:rsidRDefault="00495D20" w:rsidP="00F73945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495D20" w:rsidRPr="009C5E28" w:rsidTr="00F73945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95D20" w:rsidRDefault="00495D20" w:rsidP="00F73945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Natriumfluorid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95D20" w:rsidRPr="009C5E28" w:rsidRDefault="00495D20" w:rsidP="00F7394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301-319-315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95D20" w:rsidRPr="009C5E28" w:rsidRDefault="00495D20" w:rsidP="00F7394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305+351+338-302+352-309+310</w:t>
            </w:r>
          </w:p>
        </w:tc>
      </w:tr>
      <w:tr w:rsidR="00495D20" w:rsidRPr="009C5E28" w:rsidTr="00F73945">
        <w:tc>
          <w:tcPr>
            <w:tcW w:w="1009" w:type="dxa"/>
            <w:shd w:val="clear" w:color="auto" w:fill="auto"/>
            <w:vAlign w:val="center"/>
          </w:tcPr>
          <w:p w:rsidR="00495D20" w:rsidRPr="009C5E28" w:rsidRDefault="00495D20" w:rsidP="00F739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" name="Grafik 1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95D20" w:rsidRPr="009C5E28" w:rsidRDefault="00495D20" w:rsidP="00F739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95D20" w:rsidRPr="009C5E28" w:rsidRDefault="00495D20" w:rsidP="00F739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95D20" w:rsidRPr="009C5E28" w:rsidRDefault="00495D20" w:rsidP="00F739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495D20" w:rsidRPr="009C5E28" w:rsidRDefault="00495D20" w:rsidP="00F739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5D20" w:rsidRPr="009C5E28" w:rsidRDefault="00495D20" w:rsidP="00F739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95D20" w:rsidRPr="009C5E28" w:rsidRDefault="00495D20" w:rsidP="00F739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1965" cy="481965"/>
                  <wp:effectExtent l="19050" t="0" r="0" b="0"/>
                  <wp:docPr id="6" name="Grafik 5" descr="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95D20" w:rsidRPr="009C5E28" w:rsidRDefault="00495D20" w:rsidP="00F739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" name="Grafik 2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20" w:rsidRPr="009C5E28" w:rsidRDefault="00495D20" w:rsidP="00F7394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D20" w:rsidRDefault="00495D20" w:rsidP="00495D20">
      <w:pPr>
        <w:tabs>
          <w:tab w:val="left" w:pos="1701"/>
          <w:tab w:val="left" w:pos="1985"/>
        </w:tabs>
      </w:pPr>
    </w:p>
    <w:p w:rsidR="00495D20" w:rsidRDefault="00495D20" w:rsidP="00495D2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Porzellantiegel, Dreifuß mit Tondreieck, Laborbenner, </w:t>
      </w:r>
      <w:proofErr w:type="spellStart"/>
      <w:r>
        <w:t>Rührstab</w:t>
      </w:r>
      <w:proofErr w:type="spellEnd"/>
      <w:r>
        <w:t xml:space="preserve">, </w:t>
      </w:r>
      <w:proofErr w:type="spellStart"/>
      <w:r>
        <w:t>Spatellöffel</w:t>
      </w:r>
      <w:proofErr w:type="spellEnd"/>
      <w:r>
        <w:t>, Aluminiumfolie, Hammer, Pinzette</w:t>
      </w:r>
    </w:p>
    <w:p w:rsidR="00495D20" w:rsidRPr="00ED07C2" w:rsidRDefault="00495D20" w:rsidP="00495D2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4.5 g Natriumchlorid, 4.5 g Kaliumchlorid, 1 g Natriumfluorid</w:t>
      </w:r>
    </w:p>
    <w:p w:rsidR="00495D20" w:rsidRDefault="00495D20" w:rsidP="00495D20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Es werden 4.5 g Natriumchlorid, 4.5 g Kaliumchlorid und 1 g Natriumflu</w:t>
      </w:r>
      <w:r>
        <w:t>o</w:t>
      </w:r>
      <w:r>
        <w:t>rid abgewogen, vermischt und in den Porzellantiegel gegeben. Anschli</w:t>
      </w:r>
      <w:r>
        <w:t>e</w:t>
      </w:r>
      <w:r>
        <w:t xml:space="preserve">ßend wird der Porzellantiegel auf den Dreifuß mit Tondreieck gesetzt und mit rauschender Flamme des Brenners erhitzt, bis das Salzgemisch schmilzt. In diese Schmelze werden portionsweise </w:t>
      </w:r>
      <w:proofErr w:type="spellStart"/>
      <w:r>
        <w:t>kleine</w:t>
      </w:r>
      <w:proofErr w:type="spellEnd"/>
      <w:r>
        <w:t xml:space="preserve"> zu Kugeln g</w:t>
      </w:r>
      <w:r>
        <w:t>e</w:t>
      </w:r>
      <w:r>
        <w:t>formte Stücke Aluminiumfolie eingetragen. Gelegentliches Umrühren e</w:t>
      </w:r>
      <w:r>
        <w:t>r</w:t>
      </w:r>
      <w:r>
        <w:t>folgt mit dem Spatel. Nach circa zehn Minuten wird der Brenner ausg</w:t>
      </w:r>
      <w:r>
        <w:t>e</w:t>
      </w:r>
      <w:r>
        <w:t xml:space="preserve">schaltet und die Schmelze kühlt ab. Der Schmelzkuchen wird mit einem Hammer zerschlagen. </w:t>
      </w:r>
    </w:p>
    <w:p w:rsidR="00495D20" w:rsidRDefault="00495D20" w:rsidP="00495D2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Die Schmelze ist klar. In dem Schmelzkuchen befindet sich das Aluminium, das zu einem handlichen Klumpen zusammengeschmolzen ist. </w:t>
      </w:r>
    </w:p>
    <w:p w:rsidR="00495D20" w:rsidRDefault="00495D20" w:rsidP="00495D20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pict>
          <v:oval id="_x0000_s1028" style="position:absolute;left:0;text-align:left;margin-left:226.65pt;margin-top:251.4pt;width:44.85pt;height:21.75pt;z-index:251661312" filled="f" strokecolor="red"/>
        </w:pict>
      </w:r>
      <w:r>
        <w:rPr>
          <w:noProof/>
          <w:lang w:eastAsia="de-DE"/>
        </w:rPr>
        <w:drawing>
          <wp:inline distT="0" distB="0" distL="0" distR="0">
            <wp:extent cx="2311879" cy="3838754"/>
            <wp:effectExtent l="19050" t="0" r="0" b="0"/>
            <wp:docPr id="7" name="Grafik 6" descr="IMG_7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5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l="13119" r="6591"/>
                    <a:stretch>
                      <a:fillRect/>
                    </a:stretch>
                  </pic:blipFill>
                  <pic:spPr>
                    <a:xfrm>
                      <a:off x="0" y="0"/>
                      <a:ext cx="2311879" cy="383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D20" w:rsidRDefault="00495D20" w:rsidP="00495D20">
      <w:pPr>
        <w:pStyle w:val="Beschriftung"/>
        <w:ind w:left="2124"/>
        <w:jc w:val="left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Versuchsaufbau Aluminiumrecycling.</w:t>
      </w:r>
    </w:p>
    <w:p w:rsidR="00495D20" w:rsidRPr="004661CB" w:rsidRDefault="00495D20" w:rsidP="00495D20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Aluminium kann nicht direkt eingeschmolzen werden, weil bei diesem Vorgang Aluminiumoxid entsteht. Die Schmelze verhindert die Saue</w:t>
      </w:r>
      <w:r>
        <w:t>r</w:t>
      </w:r>
      <w:r>
        <w:t xml:space="preserve">stoffaufnahme von Aluminium. Aluminium schmilzt in der Schmelze zu einem Klumpen zusammen. </w:t>
      </w:r>
    </w:p>
    <w:p w:rsidR="00495D20" w:rsidRDefault="00495D20" w:rsidP="00495D20">
      <w:pPr>
        <w:ind w:left="2127" w:hanging="2127"/>
      </w:pPr>
      <w:r>
        <w:t>Entsorgung:</w:t>
      </w:r>
      <w:r>
        <w:tab/>
      </w:r>
      <w:r w:rsidRPr="003A4E50">
        <w:t>Das Aluminium kann für weitere Versuche verwendet werden oder z</w:t>
      </w:r>
      <w:r w:rsidRPr="003A4E50">
        <w:t>u</w:t>
      </w:r>
      <w:r w:rsidRPr="003A4E50">
        <w:t>sammen mit dem Schmelzkuchen im Behälter für anorganische Feststoffe entsorgt werden.</w:t>
      </w:r>
      <w:r>
        <w:t xml:space="preserve"> </w:t>
      </w:r>
    </w:p>
    <w:p w:rsidR="00495D20" w:rsidRPr="003A4E50" w:rsidRDefault="00495D20" w:rsidP="00495D20">
      <w:pPr>
        <w:ind w:left="2127" w:hanging="2127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 w:rsidRPr="003A4E50">
        <w:t xml:space="preserve">Schmidkunz H. (2011): Chemische Freihandversuche. Band 1. </w:t>
      </w:r>
      <w:proofErr w:type="spellStart"/>
      <w:r w:rsidRPr="003A4E50">
        <w:t>Aulis</w:t>
      </w:r>
      <w:proofErr w:type="spellEnd"/>
      <w:r w:rsidRPr="003A4E50">
        <w:t xml:space="preserve"> Ve</w:t>
      </w:r>
      <w:r w:rsidRPr="003A4E50">
        <w:t>r</w:t>
      </w:r>
      <w:r>
        <w:t>lag: München, S. 150.</w:t>
      </w:r>
    </w:p>
    <w:p w:rsidR="00495D20" w:rsidRDefault="00495D20" w:rsidP="00495D20">
      <w:pPr>
        <w:tabs>
          <w:tab w:val="left" w:pos="1701"/>
          <w:tab w:val="left" w:pos="1985"/>
        </w:tabs>
        <w:ind w:left="1980" w:hanging="1980"/>
      </w:pPr>
    </w:p>
    <w:p w:rsidR="00495D20" w:rsidRPr="006E32AF" w:rsidRDefault="00495D20" w:rsidP="00495D20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A64338">
        <w:pict>
          <v:shape id="_x0000_s1026" type="#_x0000_t202" style="width:462.45pt;height:184.8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495D20" w:rsidRPr="00F31EBF" w:rsidRDefault="00495D20" w:rsidP="00495D2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Im Vorfeld sollte eine Einheit zur Gewinnung von Aluminium aus Bauxit durch die energiei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tensive Schmelzflusselektrolyse erfolgen. Natriumfluorid kann nicht durch das ungefährliche </w:t>
                  </w:r>
                  <w:proofErr w:type="spellStart"/>
                  <w:r>
                    <w:rPr>
                      <w:color w:val="auto"/>
                    </w:rPr>
                    <w:t>Calciumfluorid</w:t>
                  </w:r>
                  <w:proofErr w:type="spellEnd"/>
                  <w:r>
                    <w:rPr>
                      <w:color w:val="auto"/>
                    </w:rPr>
                    <w:t xml:space="preserve"> ersetzt werden, da dann eine Schmelze aufgrund der hohen Schmelztemperatur von </w:t>
                  </w:r>
                  <w:proofErr w:type="spellStart"/>
                  <w:r>
                    <w:rPr>
                      <w:color w:val="auto"/>
                    </w:rPr>
                    <w:t>Calciumfluorid</w:t>
                  </w:r>
                  <w:proofErr w:type="spellEnd"/>
                  <w:r>
                    <w:rPr>
                      <w:color w:val="auto"/>
                    </w:rPr>
                    <w:t xml:space="preserve"> bei 1418 °C mit dem Laborbrenner nicht mehr möglich ist. Der Versuch ist als Lehrerversuch durchzuführen, doch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können in den Versuchsablauf mit eingebu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den werden, indem sie mit der Pinzette die Aluminiumstücke in die Schmelze geben. Denkbar ist, dass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Aluminiumabfälle (Pausenbrotfolie, </w:t>
                  </w:r>
                  <w:proofErr w:type="spellStart"/>
                  <w:r>
                    <w:rPr>
                      <w:color w:val="auto"/>
                    </w:rPr>
                    <w:t>Joghurtbecherdeckel</w:t>
                  </w:r>
                  <w:proofErr w:type="spellEnd"/>
                  <w:r>
                    <w:rPr>
                      <w:color w:val="auto"/>
                    </w:rPr>
                    <w:t xml:space="preserve">, </w:t>
                  </w:r>
                  <w:proofErr w:type="spellStart"/>
                  <w:r>
                    <w:rPr>
                      <w:color w:val="auto"/>
                    </w:rPr>
                    <w:t>Chipstüten</w:t>
                  </w:r>
                  <w:proofErr w:type="spellEnd"/>
                  <w:r>
                    <w:rPr>
                      <w:color w:val="auto"/>
                    </w:rPr>
                    <w:t xml:space="preserve">, …) von Zuhause mitbringen, um so den Alltagsbezug deutlicher herauszustellen. </w:t>
                  </w:r>
                </w:p>
              </w:txbxContent>
            </v:textbox>
            <w10:wrap type="none"/>
            <w10:anchorlock/>
          </v:shape>
        </w:pict>
      </w:r>
    </w:p>
    <w:p w:rsidR="002D0FD0" w:rsidRDefault="002D0FD0"/>
    <w:sectPr w:rsidR="002D0FD0" w:rsidSect="002D0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95D20"/>
    <w:rsid w:val="00022321"/>
    <w:rsid w:val="0007412D"/>
    <w:rsid w:val="002D0FD0"/>
    <w:rsid w:val="003D103D"/>
    <w:rsid w:val="00495D20"/>
    <w:rsid w:val="004965DA"/>
    <w:rsid w:val="004A0535"/>
    <w:rsid w:val="00536BC1"/>
    <w:rsid w:val="0087773D"/>
    <w:rsid w:val="009D3E5B"/>
    <w:rsid w:val="00E8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5D2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5D2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5D2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95D2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5D2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5D2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5D2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5D2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5D2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5D2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5D2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5D2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5D2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5D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5D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5D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5D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5D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5D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95D20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D20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2</cp:revision>
  <dcterms:created xsi:type="dcterms:W3CDTF">2015-08-26T11:35:00Z</dcterms:created>
  <dcterms:modified xsi:type="dcterms:W3CDTF">2015-08-26T11:35:00Z</dcterms:modified>
</cp:coreProperties>
</file>