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F6" w:rsidRPr="00311AC5" w:rsidRDefault="00E407F6" w:rsidP="00E407F6">
      <w:pPr>
        <w:pStyle w:val="berschrift2"/>
        <w:numPr>
          <w:ilvl w:val="0"/>
          <w:numId w:val="0"/>
        </w:numPr>
        <w:ind w:left="576" w:hanging="576"/>
        <w:rPr>
          <w:sz w:val="24"/>
        </w:rPr>
      </w:pPr>
      <w:bookmarkStart w:id="0" w:name="_Toc427831388"/>
      <w:r w:rsidRPr="00311AC5">
        <w:rPr>
          <w:sz w:val="24"/>
        </w:rPr>
        <w:t xml:space="preserve">Das </w:t>
      </w:r>
      <w:proofErr w:type="spellStart"/>
      <w:r w:rsidRPr="00311AC5">
        <w:rPr>
          <w:sz w:val="24"/>
        </w:rPr>
        <w:t>Thermitverfahren</w:t>
      </w:r>
      <w:bookmarkStart w:id="1" w:name="_Toc425776595"/>
      <w:bookmarkEnd w:id="0"/>
      <w:bookmarkEnd w:id="1"/>
      <w:proofErr w:type="spellEnd"/>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E407F6" w:rsidRPr="009C5E28" w:rsidTr="00950636">
        <w:tc>
          <w:tcPr>
            <w:tcW w:w="9322" w:type="dxa"/>
            <w:gridSpan w:val="9"/>
            <w:shd w:val="clear" w:color="auto" w:fill="4F81BD"/>
            <w:vAlign w:val="center"/>
          </w:tcPr>
          <w:p w:rsidR="00E407F6" w:rsidRPr="00F31EBF" w:rsidRDefault="00E407F6" w:rsidP="00950636">
            <w:pPr>
              <w:spacing w:after="0"/>
              <w:jc w:val="center"/>
              <w:rPr>
                <w:b/>
                <w:bCs/>
                <w:color w:val="FFFFFF" w:themeColor="background1"/>
              </w:rPr>
            </w:pPr>
            <w:r w:rsidRPr="00F31EBF">
              <w:rPr>
                <w:b/>
                <w:bCs/>
                <w:color w:val="FFFFFF" w:themeColor="background1"/>
              </w:rPr>
              <w:t>Gefahrenstoffe</w:t>
            </w:r>
          </w:p>
        </w:tc>
      </w:tr>
      <w:tr w:rsidR="00E407F6" w:rsidRPr="009C5E28" w:rsidTr="00950636">
        <w:trPr>
          <w:trHeight w:val="437"/>
        </w:trPr>
        <w:tc>
          <w:tcPr>
            <w:tcW w:w="3027" w:type="dxa"/>
            <w:gridSpan w:val="3"/>
            <w:shd w:val="clear" w:color="auto" w:fill="auto"/>
            <w:vAlign w:val="center"/>
          </w:tcPr>
          <w:p w:rsidR="00E407F6" w:rsidRPr="00AD0630" w:rsidRDefault="00E407F6" w:rsidP="00950636">
            <w:pPr>
              <w:spacing w:after="0" w:line="276" w:lineRule="auto"/>
              <w:jc w:val="center"/>
              <w:rPr>
                <w:bCs/>
                <w:sz w:val="20"/>
                <w:szCs w:val="20"/>
              </w:rPr>
            </w:pPr>
            <w:r w:rsidRPr="00AD0630">
              <w:rPr>
                <w:bCs/>
                <w:sz w:val="20"/>
                <w:szCs w:val="20"/>
              </w:rPr>
              <w:t>Eisen(III)</w:t>
            </w:r>
            <w:proofErr w:type="spellStart"/>
            <w:r w:rsidRPr="00AD0630">
              <w:rPr>
                <w:bCs/>
                <w:sz w:val="20"/>
                <w:szCs w:val="20"/>
              </w:rPr>
              <w:t>oxid</w:t>
            </w:r>
            <w:proofErr w:type="spellEnd"/>
          </w:p>
        </w:tc>
        <w:tc>
          <w:tcPr>
            <w:tcW w:w="3177" w:type="dxa"/>
            <w:gridSpan w:val="3"/>
            <w:shd w:val="clear" w:color="auto" w:fill="auto"/>
            <w:vAlign w:val="center"/>
          </w:tcPr>
          <w:p w:rsidR="00E407F6" w:rsidRPr="00AD0630" w:rsidRDefault="00E407F6" w:rsidP="00950636">
            <w:pPr>
              <w:spacing w:after="0"/>
              <w:jc w:val="center"/>
              <w:rPr>
                <w:sz w:val="20"/>
                <w:szCs w:val="20"/>
              </w:rPr>
            </w:pPr>
            <w:r>
              <w:rPr>
                <w:sz w:val="20"/>
                <w:szCs w:val="20"/>
              </w:rPr>
              <w:t>-</w:t>
            </w:r>
          </w:p>
        </w:tc>
        <w:tc>
          <w:tcPr>
            <w:tcW w:w="3118" w:type="dxa"/>
            <w:gridSpan w:val="3"/>
            <w:shd w:val="clear" w:color="auto" w:fill="auto"/>
            <w:vAlign w:val="center"/>
          </w:tcPr>
          <w:p w:rsidR="00E407F6" w:rsidRPr="00AD0630" w:rsidRDefault="00E407F6" w:rsidP="00950636">
            <w:pPr>
              <w:spacing w:after="0"/>
              <w:jc w:val="center"/>
              <w:rPr>
                <w:sz w:val="20"/>
                <w:szCs w:val="20"/>
              </w:rPr>
            </w:pPr>
            <w:r>
              <w:rPr>
                <w:sz w:val="20"/>
                <w:szCs w:val="20"/>
              </w:rPr>
              <w:t>-</w:t>
            </w:r>
          </w:p>
        </w:tc>
      </w:tr>
      <w:tr w:rsidR="00E407F6" w:rsidRPr="009C5E28" w:rsidTr="00950636">
        <w:trPr>
          <w:trHeight w:val="434"/>
        </w:trPr>
        <w:tc>
          <w:tcPr>
            <w:tcW w:w="3027" w:type="dxa"/>
            <w:gridSpan w:val="3"/>
            <w:shd w:val="clear" w:color="auto" w:fill="auto"/>
            <w:vAlign w:val="center"/>
          </w:tcPr>
          <w:p w:rsidR="00E407F6" w:rsidRPr="009C5E28" w:rsidRDefault="00E407F6" w:rsidP="00950636">
            <w:pPr>
              <w:spacing w:after="0" w:line="276" w:lineRule="auto"/>
              <w:jc w:val="center"/>
              <w:rPr>
                <w:bCs/>
                <w:sz w:val="20"/>
              </w:rPr>
            </w:pPr>
            <w:r>
              <w:rPr>
                <w:color w:val="auto"/>
                <w:sz w:val="20"/>
                <w:szCs w:val="20"/>
              </w:rPr>
              <w:t>Aluminiumgrieß</w:t>
            </w:r>
          </w:p>
        </w:tc>
        <w:tc>
          <w:tcPr>
            <w:tcW w:w="3177" w:type="dxa"/>
            <w:gridSpan w:val="3"/>
            <w:shd w:val="clear" w:color="auto" w:fill="auto"/>
            <w:vAlign w:val="center"/>
          </w:tcPr>
          <w:p w:rsidR="00E407F6" w:rsidRPr="009C5E28" w:rsidRDefault="00E407F6" w:rsidP="00950636">
            <w:pPr>
              <w:pStyle w:val="Beschriftung"/>
              <w:spacing w:after="0"/>
              <w:jc w:val="center"/>
              <w:rPr>
                <w:sz w:val="20"/>
              </w:rPr>
            </w:pPr>
            <w:r>
              <w:rPr>
                <w:sz w:val="20"/>
              </w:rPr>
              <w:t>-</w:t>
            </w:r>
          </w:p>
        </w:tc>
        <w:tc>
          <w:tcPr>
            <w:tcW w:w="3118" w:type="dxa"/>
            <w:gridSpan w:val="3"/>
            <w:shd w:val="clear" w:color="auto" w:fill="auto"/>
            <w:vAlign w:val="center"/>
          </w:tcPr>
          <w:p w:rsidR="00E407F6" w:rsidRPr="009C5E28" w:rsidRDefault="00E407F6" w:rsidP="00950636">
            <w:pPr>
              <w:pStyle w:val="Beschriftung"/>
              <w:spacing w:after="0"/>
              <w:jc w:val="center"/>
              <w:rPr>
                <w:sz w:val="20"/>
              </w:rPr>
            </w:pPr>
            <w:r>
              <w:rPr>
                <w:sz w:val="20"/>
              </w:rPr>
              <w:t>-</w:t>
            </w:r>
          </w:p>
        </w:tc>
      </w:tr>
      <w:tr w:rsidR="00E407F6" w:rsidRPr="009C5E28" w:rsidTr="00950636">
        <w:trPr>
          <w:trHeight w:val="434"/>
        </w:trPr>
        <w:tc>
          <w:tcPr>
            <w:tcW w:w="3027" w:type="dxa"/>
            <w:gridSpan w:val="3"/>
            <w:shd w:val="clear" w:color="auto" w:fill="auto"/>
            <w:vAlign w:val="center"/>
          </w:tcPr>
          <w:p w:rsidR="00E407F6" w:rsidRDefault="00E407F6" w:rsidP="00950636">
            <w:pPr>
              <w:spacing w:after="0" w:line="276" w:lineRule="auto"/>
              <w:jc w:val="center"/>
              <w:rPr>
                <w:color w:val="auto"/>
                <w:sz w:val="20"/>
                <w:szCs w:val="20"/>
              </w:rPr>
            </w:pPr>
            <w:r>
              <w:rPr>
                <w:color w:val="auto"/>
                <w:sz w:val="20"/>
                <w:szCs w:val="20"/>
              </w:rPr>
              <w:t>Aluminiumpulver</w:t>
            </w:r>
          </w:p>
        </w:tc>
        <w:tc>
          <w:tcPr>
            <w:tcW w:w="3177" w:type="dxa"/>
            <w:gridSpan w:val="3"/>
            <w:shd w:val="clear" w:color="auto" w:fill="auto"/>
            <w:vAlign w:val="center"/>
          </w:tcPr>
          <w:p w:rsidR="00E407F6" w:rsidRPr="009C5E28" w:rsidRDefault="00E407F6" w:rsidP="00950636">
            <w:pPr>
              <w:pStyle w:val="Beschriftung"/>
              <w:spacing w:after="0"/>
              <w:jc w:val="center"/>
              <w:rPr>
                <w:sz w:val="20"/>
              </w:rPr>
            </w:pPr>
            <w:r>
              <w:rPr>
                <w:sz w:val="20"/>
              </w:rPr>
              <w:t>H: 250-261</w:t>
            </w:r>
          </w:p>
        </w:tc>
        <w:tc>
          <w:tcPr>
            <w:tcW w:w="3118" w:type="dxa"/>
            <w:gridSpan w:val="3"/>
            <w:shd w:val="clear" w:color="auto" w:fill="auto"/>
            <w:vAlign w:val="center"/>
          </w:tcPr>
          <w:p w:rsidR="00E407F6" w:rsidRPr="009C5E28" w:rsidRDefault="00E407F6" w:rsidP="00950636">
            <w:pPr>
              <w:pStyle w:val="Beschriftung"/>
              <w:spacing w:after="0"/>
              <w:jc w:val="center"/>
              <w:rPr>
                <w:sz w:val="20"/>
              </w:rPr>
            </w:pPr>
            <w:r>
              <w:rPr>
                <w:sz w:val="20"/>
              </w:rPr>
              <w:t>P: 222-431+432-422a</w:t>
            </w:r>
          </w:p>
        </w:tc>
      </w:tr>
      <w:tr w:rsidR="00E407F6" w:rsidRPr="009C5E28" w:rsidTr="00950636">
        <w:trPr>
          <w:trHeight w:val="434"/>
        </w:trPr>
        <w:tc>
          <w:tcPr>
            <w:tcW w:w="3027" w:type="dxa"/>
            <w:gridSpan w:val="3"/>
            <w:shd w:val="clear" w:color="auto" w:fill="auto"/>
            <w:vAlign w:val="center"/>
          </w:tcPr>
          <w:p w:rsidR="00E407F6" w:rsidRDefault="00E407F6" w:rsidP="00950636">
            <w:pPr>
              <w:spacing w:after="0" w:line="276" w:lineRule="auto"/>
              <w:jc w:val="center"/>
              <w:rPr>
                <w:color w:val="auto"/>
                <w:sz w:val="20"/>
                <w:szCs w:val="20"/>
              </w:rPr>
            </w:pPr>
            <w:r>
              <w:rPr>
                <w:color w:val="auto"/>
                <w:sz w:val="20"/>
                <w:szCs w:val="20"/>
              </w:rPr>
              <w:t>Magnesiumpulver</w:t>
            </w:r>
          </w:p>
        </w:tc>
        <w:tc>
          <w:tcPr>
            <w:tcW w:w="3177" w:type="dxa"/>
            <w:gridSpan w:val="3"/>
            <w:shd w:val="clear" w:color="auto" w:fill="auto"/>
            <w:vAlign w:val="center"/>
          </w:tcPr>
          <w:p w:rsidR="00E407F6" w:rsidRPr="009C5E28" w:rsidRDefault="00E407F6" w:rsidP="00950636">
            <w:pPr>
              <w:pStyle w:val="Beschriftung"/>
              <w:spacing w:after="0"/>
              <w:jc w:val="center"/>
              <w:rPr>
                <w:sz w:val="20"/>
              </w:rPr>
            </w:pPr>
            <w:r>
              <w:rPr>
                <w:sz w:val="20"/>
              </w:rPr>
              <w:t>H: 250-260</w:t>
            </w:r>
          </w:p>
        </w:tc>
        <w:tc>
          <w:tcPr>
            <w:tcW w:w="3118" w:type="dxa"/>
            <w:gridSpan w:val="3"/>
            <w:shd w:val="clear" w:color="auto" w:fill="auto"/>
            <w:vAlign w:val="center"/>
          </w:tcPr>
          <w:p w:rsidR="00E407F6" w:rsidRPr="009C5E28" w:rsidRDefault="00E407F6" w:rsidP="00950636">
            <w:pPr>
              <w:pStyle w:val="Beschriftung"/>
              <w:spacing w:after="0"/>
              <w:jc w:val="center"/>
              <w:rPr>
                <w:sz w:val="20"/>
              </w:rPr>
            </w:pPr>
            <w:r>
              <w:rPr>
                <w:sz w:val="20"/>
              </w:rPr>
              <w:t>P: 210-370+378c-402+404</w:t>
            </w:r>
          </w:p>
        </w:tc>
      </w:tr>
      <w:tr w:rsidR="00E407F6" w:rsidRPr="009C5E28" w:rsidTr="00950636">
        <w:trPr>
          <w:trHeight w:val="434"/>
        </w:trPr>
        <w:tc>
          <w:tcPr>
            <w:tcW w:w="3027" w:type="dxa"/>
            <w:gridSpan w:val="3"/>
            <w:shd w:val="clear" w:color="auto" w:fill="auto"/>
            <w:vAlign w:val="center"/>
          </w:tcPr>
          <w:p w:rsidR="00E407F6" w:rsidRDefault="00E407F6" w:rsidP="00950636">
            <w:pPr>
              <w:spacing w:after="0" w:line="276" w:lineRule="auto"/>
              <w:jc w:val="center"/>
              <w:rPr>
                <w:color w:val="auto"/>
                <w:sz w:val="20"/>
                <w:szCs w:val="20"/>
              </w:rPr>
            </w:pPr>
            <w:r>
              <w:rPr>
                <w:color w:val="auto"/>
                <w:sz w:val="20"/>
                <w:szCs w:val="20"/>
              </w:rPr>
              <w:t>Magnesiumband</w:t>
            </w:r>
          </w:p>
        </w:tc>
        <w:tc>
          <w:tcPr>
            <w:tcW w:w="3177" w:type="dxa"/>
            <w:gridSpan w:val="3"/>
            <w:shd w:val="clear" w:color="auto" w:fill="auto"/>
            <w:vAlign w:val="center"/>
          </w:tcPr>
          <w:p w:rsidR="00E407F6" w:rsidRPr="009C5E28" w:rsidRDefault="00E407F6" w:rsidP="00950636">
            <w:pPr>
              <w:pStyle w:val="Beschriftung"/>
              <w:spacing w:after="0"/>
              <w:jc w:val="center"/>
              <w:rPr>
                <w:sz w:val="20"/>
              </w:rPr>
            </w:pPr>
            <w:r>
              <w:rPr>
                <w:sz w:val="20"/>
              </w:rPr>
              <w:t>-</w:t>
            </w:r>
          </w:p>
        </w:tc>
        <w:tc>
          <w:tcPr>
            <w:tcW w:w="3118" w:type="dxa"/>
            <w:gridSpan w:val="3"/>
            <w:shd w:val="clear" w:color="auto" w:fill="auto"/>
            <w:vAlign w:val="center"/>
          </w:tcPr>
          <w:p w:rsidR="00E407F6" w:rsidRPr="009C5E28" w:rsidRDefault="00E407F6" w:rsidP="00950636">
            <w:pPr>
              <w:pStyle w:val="Beschriftung"/>
              <w:spacing w:after="0"/>
              <w:jc w:val="center"/>
              <w:rPr>
                <w:sz w:val="20"/>
              </w:rPr>
            </w:pPr>
            <w:r>
              <w:rPr>
                <w:sz w:val="20"/>
              </w:rPr>
              <w:t>-</w:t>
            </w:r>
          </w:p>
        </w:tc>
      </w:tr>
      <w:tr w:rsidR="00E407F6" w:rsidRPr="009C5E28" w:rsidTr="00950636">
        <w:tc>
          <w:tcPr>
            <w:tcW w:w="1009" w:type="dxa"/>
            <w:shd w:val="clear" w:color="auto" w:fill="auto"/>
            <w:vAlign w:val="center"/>
          </w:tcPr>
          <w:p w:rsidR="00E407F6" w:rsidRPr="009C5E28" w:rsidRDefault="00E407F6" w:rsidP="00950636">
            <w:pPr>
              <w:spacing w:after="0"/>
              <w:jc w:val="center"/>
              <w:rPr>
                <w:b/>
                <w:bCs/>
              </w:rPr>
            </w:pPr>
            <w:r>
              <w:rPr>
                <w:b/>
                <w:bCs/>
                <w:noProof/>
                <w:lang w:eastAsia="de-DE"/>
              </w:rPr>
              <w:drawing>
                <wp:inline distT="0" distB="0" distL="0" distR="0">
                  <wp:extent cx="503555" cy="503555"/>
                  <wp:effectExtent l="19050" t="0" r="0" b="0"/>
                  <wp:docPr id="1"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3555" cy="503555"/>
                  <wp:effectExtent l="19050" t="0" r="0" b="0"/>
                  <wp:docPr id="5" name="Grafik 0"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4190" cy="504190"/>
                  <wp:effectExtent l="0" t="0" r="0" b="0"/>
                  <wp:docPr id="1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4190" cy="504190"/>
                  <wp:effectExtent l="0" t="0" r="0" b="0"/>
                  <wp:docPr id="1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4190" cy="504190"/>
                  <wp:effectExtent l="0" t="0" r="0" b="0"/>
                  <wp:docPr id="2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4190" cy="504190"/>
                  <wp:effectExtent l="0" t="0" r="0" b="0"/>
                  <wp:docPr id="2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3555" cy="503555"/>
                  <wp:effectExtent l="19050" t="0" r="0" b="0"/>
                  <wp:docPr id="24" name="Grafik 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E407F6" w:rsidRPr="009C5E28" w:rsidRDefault="00E407F6" w:rsidP="00950636">
            <w:pPr>
              <w:spacing w:after="0"/>
              <w:jc w:val="center"/>
            </w:pPr>
            <w:r>
              <w:rPr>
                <w:noProof/>
                <w:lang w:eastAsia="de-DE"/>
              </w:rPr>
              <w:drawing>
                <wp:inline distT="0" distB="0" distL="0" distR="0">
                  <wp:extent cx="504190" cy="504190"/>
                  <wp:effectExtent l="0" t="0" r="0" b="0"/>
                  <wp:docPr id="2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407F6" w:rsidRDefault="00E407F6" w:rsidP="00E407F6">
      <w:pPr>
        <w:tabs>
          <w:tab w:val="left" w:pos="1701"/>
          <w:tab w:val="left" w:pos="1985"/>
        </w:tabs>
        <w:ind w:left="1980" w:hanging="1980"/>
      </w:pPr>
    </w:p>
    <w:p w:rsidR="00E407F6" w:rsidRDefault="00E407F6" w:rsidP="00E407F6">
      <w:pPr>
        <w:tabs>
          <w:tab w:val="left" w:pos="1701"/>
          <w:tab w:val="left" w:pos="1985"/>
        </w:tabs>
        <w:ind w:left="1980" w:hanging="1980"/>
      </w:pPr>
      <w:r>
        <w:t xml:space="preserve">Materialien: </w:t>
      </w:r>
      <w:r>
        <w:tab/>
      </w:r>
      <w:r>
        <w:tab/>
        <w:t xml:space="preserve">Stativständer, Stativring, Stativklemme, </w:t>
      </w:r>
      <w:proofErr w:type="spellStart"/>
      <w:r>
        <w:t>Tontopf</w:t>
      </w:r>
      <w:proofErr w:type="spellEnd"/>
      <w:r>
        <w:t>, Sand, Papierhülse, Metallschüssel</w:t>
      </w:r>
    </w:p>
    <w:p w:rsidR="00E407F6" w:rsidRPr="00ED07C2" w:rsidRDefault="00E407F6" w:rsidP="00E407F6">
      <w:pPr>
        <w:tabs>
          <w:tab w:val="left" w:pos="1701"/>
          <w:tab w:val="left" w:pos="1985"/>
        </w:tabs>
        <w:ind w:left="1980" w:hanging="1980"/>
      </w:pPr>
      <w:r>
        <w:t>Chemikalien:</w:t>
      </w:r>
      <w:r>
        <w:tab/>
      </w:r>
      <w:r>
        <w:tab/>
        <w:t>15 g Eisenpulver, 5 g Aluminiumgrieß, 0.5 g Aluminiumpulver</w:t>
      </w:r>
    </w:p>
    <w:p w:rsidR="00E407F6" w:rsidRDefault="00E407F6" w:rsidP="00E407F6">
      <w:pPr>
        <w:tabs>
          <w:tab w:val="left" w:pos="1701"/>
          <w:tab w:val="left" w:pos="1985"/>
        </w:tabs>
        <w:ind w:left="1980" w:hanging="1980"/>
      </w:pPr>
      <w:r>
        <w:t xml:space="preserve">Durchführung: </w:t>
      </w:r>
      <w:r>
        <w:tab/>
      </w:r>
      <w:r>
        <w:tab/>
        <w:t>Zunächst werden Aluminiumpulver, Aluminiumgrieß und Eisen(III)</w:t>
      </w:r>
      <w:proofErr w:type="spellStart"/>
      <w:r>
        <w:t>oxid</w:t>
      </w:r>
      <w:proofErr w:type="spellEnd"/>
      <w:r>
        <w:t xml:space="preserve"> im Becherglas gemischt. Dieses sogenannte </w:t>
      </w:r>
      <w:proofErr w:type="spellStart"/>
      <w:r>
        <w:t>Thermit</w:t>
      </w:r>
      <w:proofErr w:type="spellEnd"/>
      <w:r>
        <w:t xml:space="preserve">-Gemisch wird in die Papierhülse gefüllt. Die Papierhülse wird mithilfe von Sand in dem </w:t>
      </w:r>
      <w:proofErr w:type="spellStart"/>
      <w:r>
        <w:t>Tontopf</w:t>
      </w:r>
      <w:proofErr w:type="spellEnd"/>
      <w:r>
        <w:t xml:space="preserve"> über der unteren Öffnung fixiert. Der Sand sollte die Papierhülse komplett umschließen, damit diese nicht umfällt. Das </w:t>
      </w:r>
      <w:proofErr w:type="spellStart"/>
      <w:r>
        <w:t>Thermit</w:t>
      </w:r>
      <w:proofErr w:type="spellEnd"/>
      <w:r>
        <w:t xml:space="preserve">-Gemisch wird mit einer dünnen Schicht Magnesiumpulver bedeckt. Als Zünder werden zwei verdrillte Magnesiumbänder verwendet, welche in das </w:t>
      </w:r>
      <w:proofErr w:type="spellStart"/>
      <w:r>
        <w:t>Thermit</w:t>
      </w:r>
      <w:proofErr w:type="spellEnd"/>
      <w:r>
        <w:t xml:space="preserve">-Gemisch gesteckt werden. Unter den </w:t>
      </w:r>
      <w:proofErr w:type="spellStart"/>
      <w:r>
        <w:t>Tontopf</w:t>
      </w:r>
      <w:proofErr w:type="spellEnd"/>
      <w:r>
        <w:t xml:space="preserve"> wird die Metallschüssel mit Sand gestellt. Der Versuch sollte im Freien durchgeführt werden und ein Sicherheitsabstand von 2 m eingehalten werden! Das Produkt wird mit einem in Papier eingewickelten Magneten untersucht. </w:t>
      </w:r>
    </w:p>
    <w:p w:rsidR="00E407F6" w:rsidRDefault="00E407F6" w:rsidP="00E407F6">
      <w:pPr>
        <w:tabs>
          <w:tab w:val="left" w:pos="1701"/>
          <w:tab w:val="left" w:pos="1985"/>
        </w:tabs>
        <w:ind w:left="1980" w:hanging="1980"/>
      </w:pPr>
      <w:r>
        <w:t>Beobachtung:</w:t>
      </w:r>
      <w:r>
        <w:tab/>
      </w:r>
      <w:r>
        <w:tab/>
        <w:t xml:space="preserve">Nach Entzünden des Magnesiumbandes kann eine intensiv helle Flamme inklusive Funkenbildung beobachtet werden. Die Flüssigkeit ergießt sich durch die untere Öffnung des Tontopfes in die Sandwanne. Nach Ende der Reaktion hat sich in der Metallschüssel ein teilweise metallisch glänzender Brocken gebildet, der magnetisch ist. </w:t>
      </w:r>
    </w:p>
    <w:p w:rsidR="00E407F6" w:rsidRDefault="00E407F6" w:rsidP="00E407F6">
      <w:pPr>
        <w:keepNext/>
        <w:tabs>
          <w:tab w:val="left" w:pos="1701"/>
          <w:tab w:val="left" w:pos="1985"/>
        </w:tabs>
        <w:ind w:left="1980" w:hanging="1980"/>
        <w:jc w:val="right"/>
      </w:pPr>
      <w:r>
        <w:rPr>
          <w:noProof/>
          <w:lang w:eastAsia="de-DE"/>
        </w:rPr>
        <w:lastRenderedPageBreak/>
        <w:drawing>
          <wp:inline distT="0" distB="0" distL="0" distR="0">
            <wp:extent cx="4438650" cy="2391727"/>
            <wp:effectExtent l="0" t="1028700" r="0" b="999173"/>
            <wp:docPr id="44" name="Grafik 43" descr="IMG_7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36.JPG"/>
                    <pic:cNvPicPr/>
                  </pic:nvPicPr>
                  <pic:blipFill>
                    <a:blip r:embed="rId14" cstate="print"/>
                    <a:srcRect/>
                    <a:stretch>
                      <a:fillRect/>
                    </a:stretch>
                  </pic:blipFill>
                  <pic:spPr>
                    <a:xfrm rot="5400000">
                      <a:off x="0" y="0"/>
                      <a:ext cx="4438650" cy="2391727"/>
                    </a:xfrm>
                    <a:prstGeom prst="rect">
                      <a:avLst/>
                    </a:prstGeom>
                  </pic:spPr>
                </pic:pic>
              </a:graphicData>
            </a:graphic>
          </wp:inline>
        </w:drawing>
      </w:r>
    </w:p>
    <w:p w:rsidR="00E407F6" w:rsidRDefault="00E407F6" w:rsidP="00E407F6">
      <w:pPr>
        <w:pStyle w:val="Beschriftung"/>
        <w:ind w:left="1134" w:firstLine="993"/>
        <w:jc w:val="left"/>
      </w:pPr>
      <w:r>
        <w:t xml:space="preserve">Abb. </w:t>
      </w:r>
      <w:fldSimple w:instr=" SEQ Abb. \* ARABIC ">
        <w:r>
          <w:rPr>
            <w:noProof/>
          </w:rPr>
          <w:t>1</w:t>
        </w:r>
      </w:fldSimple>
      <w:r>
        <w:t xml:space="preserve"> - </w:t>
      </w:r>
      <w:r>
        <w:rPr>
          <w:noProof/>
        </w:rPr>
        <w:t xml:space="preserve"> Thermitverfahren.</w:t>
      </w:r>
    </w:p>
    <w:p w:rsidR="00E407F6" w:rsidRPr="00074A34" w:rsidRDefault="00E407F6" w:rsidP="00E407F6">
      <w:pPr>
        <w:tabs>
          <w:tab w:val="left" w:pos="1701"/>
          <w:tab w:val="left" w:pos="1985"/>
        </w:tabs>
        <w:ind w:left="2124" w:hanging="2124"/>
      </w:pPr>
      <w:r>
        <w:t>Deutung:</w:t>
      </w:r>
      <w:r>
        <w:tab/>
      </w:r>
      <w:r>
        <w:tab/>
      </w:r>
      <w:r>
        <w:tab/>
        <w:t>Bei dieser Reaktion wird Sauerstoff übertragen. In einer stark exothermen Reaktion reagiert Eisen(III)</w:t>
      </w:r>
      <w:proofErr w:type="spellStart"/>
      <w:r>
        <w:t>oxid</w:t>
      </w:r>
      <w:proofErr w:type="spellEnd"/>
      <w:r>
        <w:t xml:space="preserve"> mit Aluminiumpulver zu Roheisen und Aluminiumoxid. Das flüssige Eisen sinkt in der </w:t>
      </w:r>
      <w:proofErr w:type="spellStart"/>
      <w:r>
        <w:t>Thermitschmelze</w:t>
      </w:r>
      <w:proofErr w:type="spellEnd"/>
      <w:r>
        <w:t xml:space="preserve"> nach unten, fließt aus dem Loch und wird zu dem beobachteten „Brocken“. </w:t>
      </w:r>
    </w:p>
    <w:p w:rsidR="00E407F6" w:rsidRDefault="00E407F6" w:rsidP="00E407F6">
      <w:pPr>
        <w:tabs>
          <w:tab w:val="left" w:pos="1701"/>
          <w:tab w:val="left" w:pos="1985"/>
        </w:tabs>
        <w:ind w:left="2124" w:hanging="2124"/>
      </w:pPr>
      <w:r>
        <w:tab/>
      </w:r>
      <w:r>
        <w:tab/>
      </w:r>
      <w:r>
        <w:tab/>
        <w:t>Die Sauerstoffübertragungsreaktion als Gleichung:</w:t>
      </w:r>
    </w:p>
    <w:p w:rsidR="00E407F6" w:rsidRPr="00EA0FBA" w:rsidRDefault="00E407F6" w:rsidP="00E407F6">
      <w:pPr>
        <w:tabs>
          <w:tab w:val="left" w:pos="1701"/>
          <w:tab w:val="left" w:pos="1985"/>
        </w:tabs>
        <w:ind w:left="1980" w:hanging="1980"/>
        <w:rPr>
          <w:rFonts w:eastAsiaTheme="minorEastAsia"/>
        </w:rPr>
      </w:pPr>
      <m:oMathPara>
        <m:oMath>
          <m:r>
            <w:rPr>
              <w:rFonts w:ascii="Cambria Math" w:hAnsi="Cambria Math"/>
            </w:rPr>
            <m:t>Eisenoxid+Aluminium ⟶Eisen+Aluminiumoxid</m:t>
          </m:r>
        </m:oMath>
      </m:oMathPara>
    </w:p>
    <w:p w:rsidR="00E407F6" w:rsidRPr="00EA0FBA" w:rsidRDefault="00E407F6" w:rsidP="00E407F6">
      <w:pPr>
        <w:tabs>
          <w:tab w:val="left" w:pos="1701"/>
          <w:tab w:val="left" w:pos="1985"/>
        </w:tabs>
        <w:ind w:left="1980" w:hanging="1980"/>
        <w:rPr>
          <w:rFonts w:eastAsiaTheme="minorEastAsia"/>
        </w:rPr>
      </w:pPr>
      <w:r>
        <w:t>Entsorgung:</w:t>
      </w:r>
      <w:r>
        <w:tab/>
        <w:t xml:space="preserve">        Die Reste werden im Abfallbehälter für anorganische Stoffe entsorgt.  </w:t>
      </w:r>
    </w:p>
    <w:p w:rsidR="00E407F6" w:rsidRDefault="00E407F6" w:rsidP="00E407F6">
      <w:pPr>
        <w:spacing w:line="276" w:lineRule="auto"/>
        <w:jc w:val="left"/>
      </w:pPr>
      <w:r>
        <w:t>Literatur:</w:t>
      </w:r>
      <w:r>
        <w:tab/>
      </w:r>
      <w:r>
        <w:tab/>
        <w:t xml:space="preserve">Irmer E. (2008): </w:t>
      </w:r>
      <w:r w:rsidRPr="006D0589">
        <w:rPr>
          <w:i/>
        </w:rPr>
        <w:t>Elemente Chemie 7/8</w:t>
      </w:r>
      <w:r>
        <w:t>. Stuttgart: Klett-Verlag, S. 91.</w:t>
      </w: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407F6"/>
    <w:rsid w:val="00022321"/>
    <w:rsid w:val="0007412D"/>
    <w:rsid w:val="002D0FD0"/>
    <w:rsid w:val="00411365"/>
    <w:rsid w:val="004965DA"/>
    <w:rsid w:val="004A0535"/>
    <w:rsid w:val="0087773D"/>
    <w:rsid w:val="008E5467"/>
    <w:rsid w:val="009D3E5B"/>
    <w:rsid w:val="00E407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7F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407F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407F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407F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407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07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07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07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07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07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07F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407F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407F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407F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407F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407F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407F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407F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07F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407F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407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07F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1847</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2015-08-26T12:20:00Z</dcterms:created>
  <dcterms:modified xsi:type="dcterms:W3CDTF">2015-08-26T12:20:00Z</dcterms:modified>
</cp:coreProperties>
</file>