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DC7" w:rsidRDefault="00711DC7" w:rsidP="00711DC7">
      <w:pPr>
        <w:pStyle w:val="berschrift2"/>
        <w:numPr>
          <w:ilvl w:val="0"/>
          <w:numId w:val="0"/>
        </w:numPr>
        <w:ind w:left="576" w:hanging="576"/>
      </w:pPr>
      <w:bookmarkStart w:id="0" w:name="_Toc427831389"/>
      <w:r>
        <w:t xml:space="preserve"> Elektrolytische Kupferraffination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11DC7" w:rsidRPr="009C5E28" w:rsidTr="00950636">
        <w:tc>
          <w:tcPr>
            <w:tcW w:w="9322" w:type="dxa"/>
            <w:gridSpan w:val="9"/>
            <w:shd w:val="clear" w:color="auto" w:fill="4F81BD"/>
            <w:vAlign w:val="center"/>
          </w:tcPr>
          <w:p w:rsidR="00711DC7" w:rsidRPr="00F31EBF" w:rsidRDefault="00711DC7" w:rsidP="0095063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11DC7" w:rsidRPr="009C5E28" w:rsidTr="00950636">
        <w:trPr>
          <w:trHeight w:val="458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1DC7" w:rsidRPr="00AD0630" w:rsidRDefault="00711DC7" w:rsidP="0095063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Schwefelsäure 0.5 </w:t>
            </w:r>
            <w:proofErr w:type="spellStart"/>
            <w:r>
              <w:rPr>
                <w:bCs/>
                <w:sz w:val="20"/>
                <w:szCs w:val="20"/>
              </w:rPr>
              <w:t>mol</w:t>
            </w:r>
            <w:proofErr w:type="spellEnd"/>
            <w:r>
              <w:rPr>
                <w:bCs/>
                <w:sz w:val="20"/>
                <w:szCs w:val="20"/>
              </w:rPr>
              <w:t xml:space="preserve">/L 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1DC7" w:rsidRPr="00AD0630" w:rsidRDefault="00711DC7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1DC7" w:rsidRPr="00AD0630" w:rsidRDefault="00711DC7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1DC7" w:rsidRPr="009C5E28" w:rsidTr="00950636">
        <w:trPr>
          <w:trHeight w:val="437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11DC7" w:rsidRDefault="00711DC7" w:rsidP="0095063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Kupfersulfat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11DC7" w:rsidRDefault="00711DC7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302-315-319-410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11DC7" w:rsidRDefault="00711DC7" w:rsidP="00950636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273-305+351+338+-302+358</w:t>
            </w:r>
          </w:p>
        </w:tc>
      </w:tr>
      <w:tr w:rsidR="00711DC7" w:rsidRPr="009C5E28" w:rsidTr="00950636">
        <w:tc>
          <w:tcPr>
            <w:tcW w:w="1009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  <w:rPr>
                <w:b/>
                <w:bCs/>
              </w:rPr>
            </w:pPr>
            <w:r w:rsidRPr="00D421E4"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3" name="Grafik 2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 w:rsidRPr="00D421E4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50" name="Grafik 23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5" name="Grafik 64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1DC7" w:rsidRPr="009C5E28" w:rsidRDefault="00711DC7" w:rsidP="00950636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66" name="Grafik 65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DC7" w:rsidRDefault="00711DC7" w:rsidP="00711DC7"/>
    <w:p w:rsidR="00711DC7" w:rsidRPr="00ED07C2" w:rsidRDefault="00711DC7" w:rsidP="00711DC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U-Rohr, Transformator mit Gleichspannung, Messing- und Kupferelektrode, Kabel, Krokodilklemmen, Stativ mit Stativklemme, Chemikalien.</w:t>
      </w:r>
      <w:r>
        <w:tab/>
      </w:r>
    </w:p>
    <w:p w:rsidR="00711DC7" w:rsidRDefault="00711DC7" w:rsidP="00711DC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Schwefelsäure wird in das U-Rohr gegeben, welches am Stativ befestigt ist. Die Elektroden werden auf der jeweiligen Seite in die Schwefelsäure getaucht. Der Pluspol wird mit der Messingelektrode verbunden, der Minu</w:t>
      </w:r>
      <w:r>
        <w:t>s</w:t>
      </w:r>
      <w:r>
        <w:t>pol mit der Kupferelektrode. Es wird eine Spannung von ca. 5 Volt eing</w:t>
      </w:r>
      <w:r>
        <w:t>e</w:t>
      </w:r>
      <w:r>
        <w:t xml:space="preserve">stellt. </w:t>
      </w:r>
    </w:p>
    <w:p w:rsidR="00711DC7" w:rsidRDefault="00711DC7" w:rsidP="00711DC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An der Kupferelektrode kann eine Gasentwicklung beobachtet werden. An der Messingelektrode entstehen nach ein paar Minuten blaue Schlieren. </w:t>
      </w:r>
    </w:p>
    <w:p w:rsidR="00711DC7" w:rsidRDefault="00711DC7" w:rsidP="00711DC7">
      <w:pPr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705100" cy="2152650"/>
            <wp:effectExtent l="19050" t="0" r="0" b="0"/>
            <wp:docPr id="68" name="Grafik 67" descr="IMG_7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34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DC7" w:rsidRDefault="00711DC7" w:rsidP="00711DC7">
      <w:pPr>
        <w:pStyle w:val="Beschriftung"/>
        <w:ind w:left="1134" w:firstLine="993"/>
        <w:jc w:val="left"/>
      </w:pPr>
      <w:r>
        <w:t xml:space="preserve">Abb. 2 - </w:t>
      </w:r>
      <w:r>
        <w:rPr>
          <w:noProof/>
        </w:rPr>
        <w:t xml:space="preserve"> Elektrolytische Kupferraffination.</w:t>
      </w:r>
    </w:p>
    <w:p w:rsidR="00711DC7" w:rsidRPr="0034146A" w:rsidRDefault="00711DC7" w:rsidP="00711DC7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>An der Messingelektrode gehen Kupferionen in Lösung, was an der blauen Farbe zu erkennen ist (nötiges Vorwissen: Kupfersulfat erscheint in wäs</w:t>
      </w:r>
      <w:r>
        <w:t>s</w:t>
      </w:r>
      <w:r>
        <w:t>riger Lösung blau). Die Gasentwicklung an der Kathode wird in Jahrgang</w:t>
      </w:r>
      <w:r>
        <w:t>s</w:t>
      </w:r>
      <w:r>
        <w:t>stufe 7 &amp; 8 vernachlässigt.</w:t>
      </w:r>
    </w:p>
    <w:p w:rsidR="00711DC7" w:rsidRPr="00EA0FBA" w:rsidRDefault="00711DC7" w:rsidP="00711DC7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lastRenderedPageBreak/>
        <w:t>Entsorgung:</w:t>
      </w:r>
      <w:r>
        <w:tab/>
        <w:t xml:space="preserve">     Die Elektrolytlösung wird neutralisiert und in den Schwermetallbehälter gegeben. </w:t>
      </w:r>
    </w:p>
    <w:p w:rsidR="00711DC7" w:rsidRDefault="00711DC7" w:rsidP="00711DC7">
      <w:pPr>
        <w:ind w:left="1985" w:hanging="1985"/>
        <w:jc w:val="left"/>
      </w:pPr>
      <w:r>
        <w:t>Literatur:</w:t>
      </w:r>
      <w:r>
        <w:tab/>
        <w:t xml:space="preserve">Blume R. (10.Juni 2013): </w:t>
      </w:r>
      <w:r w:rsidRPr="0034146A">
        <w:rPr>
          <w:i/>
        </w:rPr>
        <w:t>Versuch: Kupferraffination</w:t>
      </w:r>
      <w:r>
        <w:rPr>
          <w:i/>
        </w:rPr>
        <w:t xml:space="preserve">. </w:t>
      </w:r>
      <w:r>
        <w:t xml:space="preserve">In </w:t>
      </w:r>
      <w:r w:rsidRPr="0034146A">
        <w:t>http://www.chemieunterricht.de/dc2/echemie/curaffv.htm</w:t>
      </w:r>
      <w:r>
        <w:t xml:space="preserve"> (Zuletzt abg</w:t>
      </w:r>
      <w:r>
        <w:t>e</w:t>
      </w:r>
      <w:r>
        <w:t xml:space="preserve">rufen am 04.08.2015 um 21:38). </w:t>
      </w:r>
    </w:p>
    <w:p w:rsidR="00711DC7" w:rsidRPr="0034146A" w:rsidRDefault="00711DC7" w:rsidP="00711DC7">
      <w:pPr>
        <w:spacing w:line="276" w:lineRule="auto"/>
        <w:ind w:left="1985" w:hanging="1985"/>
        <w:jc w:val="left"/>
        <w:rPr>
          <w:color w:val="0000FF" w:themeColor="hyperlink"/>
          <w:u w:val="single"/>
        </w:rPr>
      </w:pPr>
      <w:r w:rsidRPr="00B9590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91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711DC7" w:rsidRPr="00F31EBF" w:rsidRDefault="00711DC7" w:rsidP="00711DC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Alternative: Der Versuch kann mit demselben Versuchsaufbau und Kupfersulfat durchgeführt werden. Dabei kann anstatt blauer Schlieren, als Indiz für das Lösen von Kupfer, das Absche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>den von elementarem Kupfer beobachtet werden. Die Versuche sollten hintereinander durc</w:t>
                  </w:r>
                  <w:r>
                    <w:rPr>
                      <w:color w:val="auto"/>
                    </w:rPr>
                    <w:t>h</w:t>
                  </w:r>
                  <w:r>
                    <w:rPr>
                      <w:color w:val="auto"/>
                    </w:rPr>
                    <w:t>geführt werden.</w:t>
                  </w:r>
                </w:p>
              </w:txbxContent>
            </v:textbox>
            <w10:wrap type="none"/>
            <w10:anchorlock/>
          </v:shape>
        </w:pict>
      </w:r>
    </w:p>
    <w:p w:rsidR="002D0FD0" w:rsidRDefault="002D0FD0"/>
    <w:sectPr w:rsidR="002D0FD0" w:rsidSect="002D0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11DC7"/>
    <w:rsid w:val="00022321"/>
    <w:rsid w:val="000721AF"/>
    <w:rsid w:val="0007412D"/>
    <w:rsid w:val="002D0FD0"/>
    <w:rsid w:val="004965DA"/>
    <w:rsid w:val="004A0535"/>
    <w:rsid w:val="00711DC7"/>
    <w:rsid w:val="0087773D"/>
    <w:rsid w:val="008E5467"/>
    <w:rsid w:val="009D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1DC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1DC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1DC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11DC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1D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1D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1D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1D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1D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1D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1DC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1DC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11DC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1D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1D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1D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1D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1D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1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711DC7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1DC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Hannah</cp:lastModifiedBy>
  <cp:revision>1</cp:revision>
  <dcterms:created xsi:type="dcterms:W3CDTF">2015-08-26T12:14:00Z</dcterms:created>
  <dcterms:modified xsi:type="dcterms:W3CDTF">2015-08-26T12:17:00Z</dcterms:modified>
</cp:coreProperties>
</file>