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5" w:rsidRDefault="00ED7005" w:rsidP="00ED7005">
      <w:pPr>
        <w:pStyle w:val="berschrift2"/>
        <w:numPr>
          <w:ilvl w:val="0"/>
          <w:numId w:val="0"/>
        </w:numPr>
        <w:ind w:left="576" w:hanging="576"/>
      </w:pPr>
      <w:bookmarkStart w:id="0" w:name="_Toc427831392"/>
      <w:r>
        <w:t xml:space="preserve"> Geröstetes Pyrit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D7005" w:rsidRPr="009C5E28" w:rsidTr="00950636">
        <w:tc>
          <w:tcPr>
            <w:tcW w:w="9322" w:type="dxa"/>
            <w:gridSpan w:val="9"/>
            <w:shd w:val="clear" w:color="auto" w:fill="4F81BD"/>
            <w:vAlign w:val="center"/>
          </w:tcPr>
          <w:p w:rsidR="00ED7005" w:rsidRPr="00F31EBF" w:rsidRDefault="00ED7005" w:rsidP="0095063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D7005" w:rsidRPr="009C5E28" w:rsidTr="00950636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D7005" w:rsidRPr="00AD0630" w:rsidRDefault="00ED7005" w:rsidP="0095063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Eisen(II)</w:t>
            </w:r>
            <w:proofErr w:type="spellStart"/>
            <w:r>
              <w:rPr>
                <w:bCs/>
                <w:sz w:val="20"/>
                <w:szCs w:val="20"/>
              </w:rPr>
              <w:t>sulfid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D7005" w:rsidRPr="00AD0630" w:rsidRDefault="00ED7005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D7005" w:rsidRPr="00AD0630" w:rsidRDefault="00ED7005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</w:t>
            </w:r>
          </w:p>
        </w:tc>
      </w:tr>
      <w:tr w:rsidR="00ED7005" w:rsidRPr="009C5E28" w:rsidTr="00950636">
        <w:tc>
          <w:tcPr>
            <w:tcW w:w="1009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4" name="Grafik 53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5" name="Grafik 54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2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7" name="Grafik 1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05" w:rsidRPr="009C5E28" w:rsidRDefault="00ED7005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56" name="Grafik 5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005" w:rsidRDefault="00ED7005" w:rsidP="00ED7005">
      <w:pPr>
        <w:tabs>
          <w:tab w:val="left" w:pos="1701"/>
          <w:tab w:val="left" w:pos="1985"/>
        </w:tabs>
        <w:ind w:left="1980" w:hanging="1980"/>
      </w:pPr>
    </w:p>
    <w:p w:rsidR="00ED7005" w:rsidRDefault="00ED7005" w:rsidP="00ED700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Reagenzglashalter, Laborbrenner, Spatel, Glaswolle, Pinzette, Hammer, Tuch</w:t>
      </w:r>
    </w:p>
    <w:p w:rsidR="00ED7005" w:rsidRPr="00ED07C2" w:rsidRDefault="00ED7005" w:rsidP="00ED700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Spatelspitze</w:t>
      </w:r>
      <w:proofErr w:type="spellEnd"/>
      <w:r>
        <w:t xml:space="preserve"> Eisen(II)</w:t>
      </w:r>
      <w:proofErr w:type="spellStart"/>
      <w:r>
        <w:t>sulfid</w:t>
      </w:r>
      <w:proofErr w:type="spellEnd"/>
    </w:p>
    <w:p w:rsidR="00ED7005" w:rsidRDefault="00ED7005" w:rsidP="00ED700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 Die </w:t>
      </w:r>
      <w:proofErr w:type="spellStart"/>
      <w:r>
        <w:t>Pyritstücke</w:t>
      </w:r>
      <w:proofErr w:type="spellEnd"/>
      <w:r>
        <w:t xml:space="preserve"> können in einem Tuch mit dem Hammer zerkleinert we</w:t>
      </w:r>
      <w:r>
        <w:t>r</w:t>
      </w:r>
      <w:r>
        <w:t xml:space="preserve">den (abhängig von Korngröße, nicht unbedingt notwendig). Eine </w:t>
      </w:r>
      <w:proofErr w:type="spellStart"/>
      <w:r>
        <w:t>Spatelspitze</w:t>
      </w:r>
      <w:proofErr w:type="spellEnd"/>
      <w:r>
        <w:t xml:space="preserve"> Eisensulfid wird in das Reagenzglas gegeben und die Öffnung locker mit wenig Glaswolle versiegelt. Das Reagenzglas wird mithilfe des Reagenzglashalters in die rauschende Brennerflamme gehalten und mehr</w:t>
      </w:r>
      <w:r>
        <w:t>e</w:t>
      </w:r>
      <w:r>
        <w:t xml:space="preserve">re Minuten lang bis zur Rotglut erhitzt. </w:t>
      </w:r>
    </w:p>
    <w:p w:rsidR="00ED7005" w:rsidRDefault="00ED7005" w:rsidP="00ED700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Das Eisensulfid glüht rot. Es tritt eine Dampfentwicklung ein und am ob</w:t>
      </w:r>
      <w:r>
        <w:t>e</w:t>
      </w:r>
      <w:r>
        <w:t xml:space="preserve">ren Teil des Reagenzglases setzt sich ein gelber Feststoff ab. </w:t>
      </w:r>
    </w:p>
    <w:p w:rsidR="00ED7005" w:rsidRDefault="00ED7005" w:rsidP="00ED700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066925" cy="2971800"/>
            <wp:effectExtent l="19050" t="0" r="9525" b="0"/>
            <wp:docPr id="47" name="Grafik 46" descr="IMG_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32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05" w:rsidRDefault="00ED7005" w:rsidP="00ED7005">
      <w:pPr>
        <w:pStyle w:val="Beschriftung"/>
        <w:ind w:firstLine="1985"/>
        <w:jc w:val="left"/>
      </w:pPr>
      <w:r>
        <w:t xml:space="preserve">Abb. </w:t>
      </w:r>
      <w:r w:rsidR="00E67A61">
        <w:t>1</w:t>
      </w:r>
      <w:r>
        <w:t xml:space="preserve"> - </w:t>
      </w:r>
      <w:r>
        <w:rPr>
          <w:noProof/>
        </w:rPr>
        <w:t xml:space="preserve"> Erhitzen von Eisensulfid.</w:t>
      </w:r>
    </w:p>
    <w:p w:rsidR="00ED7005" w:rsidRDefault="00ED7005" w:rsidP="00ED7005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>Bei der Pyrolyse von Eisensulfid wird elementarer Schwefel freigesetzt. Die Schwefeldämpfe kondensieren an den kalten Reagenzglaswänden. Unten im Reagenzglas bildet sich Eisen(II)</w:t>
      </w:r>
      <w:proofErr w:type="spellStart"/>
      <w:r>
        <w:t>oxid</w:t>
      </w:r>
      <w:proofErr w:type="spellEnd"/>
      <w:r>
        <w:t>.</w:t>
      </w:r>
    </w:p>
    <w:p w:rsidR="00ED7005" w:rsidRPr="00EA0FBA" w:rsidRDefault="00ED7005" w:rsidP="00ED700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Eisensulfid +Sauerstoff 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groupChr>
            </m:e>
          </m:box>
          <m:r>
            <w:rPr>
              <w:rFonts w:ascii="Cambria Math" w:hAnsi="Cambria Math"/>
            </w:rPr>
            <m:t>Eisenoxid+Schwefel</m:t>
          </m:r>
        </m:oMath>
      </m:oMathPara>
    </w:p>
    <w:p w:rsidR="00ED7005" w:rsidRPr="00EA0FBA" w:rsidRDefault="00ED7005" w:rsidP="00ED700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  <w:t xml:space="preserve">    </w:t>
      </w:r>
      <w:r>
        <w:tab/>
        <w:t>Die Glaswolle wird in den Abfall gegeben oder wiederverwendet. Das Eisenoxid könnte in einem Folgeversuch oxidiert werden oder im Feststof</w:t>
      </w:r>
      <w:r>
        <w:t>f</w:t>
      </w:r>
      <w:r>
        <w:t xml:space="preserve">behälter entsorgt werden.    </w:t>
      </w:r>
    </w:p>
    <w:p w:rsidR="00ED7005" w:rsidRPr="001D1BAA" w:rsidRDefault="00ED7005" w:rsidP="00ED7005">
      <w:pPr>
        <w:ind w:left="1985" w:hanging="1985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Schmidkunz H. (2011): </w:t>
      </w:r>
      <w:r>
        <w:rPr>
          <w:i/>
        </w:rPr>
        <w:t>Chemische Freihandversuche</w:t>
      </w:r>
      <w:r>
        <w:t xml:space="preserve">. Bd. 1. </w:t>
      </w:r>
      <w:proofErr w:type="spellStart"/>
      <w:r>
        <w:t>Aulis</w:t>
      </w:r>
      <w:proofErr w:type="spellEnd"/>
      <w:r>
        <w:t xml:space="preserve"> Verlag (Stark Verlagsgesellschaft): München, S. 139. </w:t>
      </w:r>
    </w:p>
    <w:p w:rsidR="00ED7005" w:rsidRPr="00984EF9" w:rsidRDefault="00ED7005" w:rsidP="00ED7005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2D0FD0" w:rsidRDefault="002D0FD0"/>
    <w:sectPr w:rsidR="002D0FD0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37" w:rsidRDefault="006A0B37" w:rsidP="00ED7005">
      <w:pPr>
        <w:spacing w:after="0" w:line="240" w:lineRule="auto"/>
      </w:pPr>
      <w:r>
        <w:separator/>
      </w:r>
    </w:p>
  </w:endnote>
  <w:endnote w:type="continuationSeparator" w:id="0">
    <w:p w:rsidR="006A0B37" w:rsidRDefault="006A0B37" w:rsidP="00ED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37" w:rsidRDefault="006A0B37" w:rsidP="00ED7005">
      <w:pPr>
        <w:spacing w:after="0" w:line="240" w:lineRule="auto"/>
      </w:pPr>
      <w:r>
        <w:separator/>
      </w:r>
    </w:p>
  </w:footnote>
  <w:footnote w:type="continuationSeparator" w:id="0">
    <w:p w:rsidR="006A0B37" w:rsidRDefault="006A0B37" w:rsidP="00ED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7005"/>
    <w:rsid w:val="00022321"/>
    <w:rsid w:val="0007412D"/>
    <w:rsid w:val="002D0FD0"/>
    <w:rsid w:val="004965DA"/>
    <w:rsid w:val="004A0535"/>
    <w:rsid w:val="006A0B37"/>
    <w:rsid w:val="0087773D"/>
    <w:rsid w:val="008E5467"/>
    <w:rsid w:val="009D3E5B"/>
    <w:rsid w:val="00E67A61"/>
    <w:rsid w:val="00E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00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700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700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700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700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70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70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70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70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70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00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700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700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7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70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7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7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70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70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D7005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005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005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ED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D7005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2</cp:revision>
  <dcterms:created xsi:type="dcterms:W3CDTF">2015-08-26T12:27:00Z</dcterms:created>
  <dcterms:modified xsi:type="dcterms:W3CDTF">2015-08-26T12:30:00Z</dcterms:modified>
</cp:coreProperties>
</file>