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C8" w:rsidRPr="009D1355" w:rsidRDefault="00954DC8" w:rsidP="00954DC8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:rsidR="00954DC8" w:rsidRDefault="00174CA9" w:rsidP="00F31EBF">
      <w:pPr>
        <w:spacing w:line="276" w:lineRule="auto"/>
      </w:pPr>
      <w:r>
        <w:t>Johanna Osterloh</w:t>
      </w:r>
    </w:p>
    <w:p w:rsidR="00954DC8" w:rsidRDefault="00174CA9" w:rsidP="00F31EBF">
      <w:pPr>
        <w:spacing w:line="276" w:lineRule="auto"/>
      </w:pPr>
      <w:r>
        <w:t>Sommersemester 2015</w:t>
      </w:r>
    </w:p>
    <w:p w:rsidR="00954DC8" w:rsidRDefault="00954DC8" w:rsidP="00F31EBF">
      <w:pPr>
        <w:spacing w:line="276" w:lineRule="auto"/>
      </w:pPr>
      <w:r>
        <w:t xml:space="preserve">Klassenstufen </w:t>
      </w:r>
      <w:r w:rsidR="00174CA9">
        <w:t>7</w:t>
      </w:r>
      <w:r w:rsidR="0007729E">
        <w:t xml:space="preserve"> &amp; </w:t>
      </w:r>
      <w:r w:rsidR="00174CA9">
        <w:t>8</w:t>
      </w:r>
    </w:p>
    <w:p w:rsidR="00954DC8" w:rsidRDefault="00532384" w:rsidP="00954DC8">
      <w:r>
        <w:rPr>
          <w:noProof/>
          <w:lang w:eastAsia="de-DE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258445</wp:posOffset>
            </wp:positionV>
            <wp:extent cx="3600450" cy="2400300"/>
            <wp:effectExtent l="361950" t="533400" r="342900" b="514350"/>
            <wp:wrapTight wrapText="bothSides">
              <wp:wrapPolygon edited="0">
                <wp:start x="21038" y="-592"/>
                <wp:lineTo x="-357" y="-623"/>
                <wp:lineTo x="-489" y="21496"/>
                <wp:lineTo x="597" y="22029"/>
                <wp:lineTo x="706" y="22082"/>
                <wp:lineTo x="2404" y="22013"/>
                <wp:lineTo x="2513" y="22067"/>
                <wp:lineTo x="8295" y="22016"/>
                <wp:lineTo x="8404" y="22070"/>
                <wp:lineTo x="14186" y="22019"/>
                <wp:lineTo x="14295" y="22073"/>
                <wp:lineTo x="20077" y="22023"/>
                <wp:lineTo x="21164" y="22555"/>
                <wp:lineTo x="21920" y="21844"/>
                <wp:lineTo x="22058" y="20108"/>
                <wp:lineTo x="21939" y="17344"/>
                <wp:lineTo x="21974" y="17181"/>
                <wp:lineTo x="21964" y="14471"/>
                <wp:lineTo x="21999" y="14308"/>
                <wp:lineTo x="21989" y="11597"/>
                <wp:lineTo x="22024" y="11435"/>
                <wp:lineTo x="22014" y="8724"/>
                <wp:lineTo x="22049" y="8561"/>
                <wp:lineTo x="21930" y="5797"/>
                <wp:lineTo x="21966" y="5634"/>
                <wp:lineTo x="22016" y="-112"/>
                <wp:lineTo x="21038" y="-592"/>
              </wp:wrapPolygon>
            </wp:wrapTight>
            <wp:docPr id="29" name="Grafik 27" descr="IMG_7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95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0513778">
                      <a:off x="0" y="0"/>
                      <a:ext cx="3600450" cy="2400300"/>
                    </a:xfrm>
                    <a:prstGeom prst="rect">
                      <a:avLst/>
                    </a:prstGeom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  <a:softEdge rad="12700"/>
                    </a:effectLst>
                  </pic:spPr>
                </pic:pic>
              </a:graphicData>
            </a:graphic>
          </wp:anchor>
        </w:drawing>
      </w:r>
      <w:r w:rsidR="00954DC8">
        <w:tab/>
      </w:r>
    </w:p>
    <w:p w:rsidR="008B7FD6" w:rsidRDefault="008B7FD6" w:rsidP="00954DC8"/>
    <w:p w:rsidR="00532384" w:rsidRDefault="00532384" w:rsidP="00954DC8">
      <w:r>
        <w:rPr>
          <w:noProof/>
          <w:lang w:eastAsia="de-DE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-1052195</wp:posOffset>
            </wp:positionH>
            <wp:positionV relativeFrom="paragraph">
              <wp:posOffset>41910</wp:posOffset>
            </wp:positionV>
            <wp:extent cx="4100830" cy="2733675"/>
            <wp:effectExtent l="400050" t="666750" r="433070" b="657225"/>
            <wp:wrapTight wrapText="bothSides">
              <wp:wrapPolygon edited="0">
                <wp:start x="-454" y="-10"/>
                <wp:lineTo x="-208" y="21888"/>
                <wp:lineTo x="568" y="22414"/>
                <wp:lineTo x="1542" y="22025"/>
                <wp:lineTo x="5958" y="22102"/>
                <wp:lineTo x="6052" y="22049"/>
                <wp:lineTo x="10561" y="22074"/>
                <wp:lineTo x="10655" y="22021"/>
                <wp:lineTo x="15071" y="22099"/>
                <wp:lineTo x="15165" y="22046"/>
                <wp:lineTo x="19675" y="22070"/>
                <wp:lineTo x="19769" y="22017"/>
                <wp:lineTo x="21072" y="22085"/>
                <wp:lineTo x="21166" y="22031"/>
                <wp:lineTo x="21917" y="21607"/>
                <wp:lineTo x="22011" y="21554"/>
                <wp:lineTo x="21964" y="20937"/>
                <wp:lineTo x="21928" y="20797"/>
                <wp:lineTo x="21961" y="18365"/>
                <wp:lineTo x="21926" y="18224"/>
                <wp:lineTo x="21958" y="15793"/>
                <wp:lineTo x="21923" y="15652"/>
                <wp:lineTo x="21956" y="13221"/>
                <wp:lineTo x="21920" y="13080"/>
                <wp:lineTo x="21953" y="10649"/>
                <wp:lineTo x="21918" y="10508"/>
                <wp:lineTo x="21950" y="8077"/>
                <wp:lineTo x="21915" y="7936"/>
                <wp:lineTo x="21948" y="5505"/>
                <wp:lineTo x="21912" y="5364"/>
                <wp:lineTo x="21945" y="2932"/>
                <wp:lineTo x="21910" y="2792"/>
                <wp:lineTo x="21907" y="219"/>
                <wp:lineTo x="21953" y="-450"/>
                <wp:lineTo x="391" y="-488"/>
                <wp:lineTo x="-454" y="-10"/>
              </wp:wrapPolygon>
            </wp:wrapTight>
            <wp:docPr id="30" name="Grafik 4" descr="IMG_7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3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238720">
                      <a:off x="0" y="0"/>
                      <a:ext cx="4100830" cy="2733675"/>
                    </a:xfrm>
                    <a:prstGeom prst="rect">
                      <a:avLst/>
                    </a:prstGeom>
                    <a:ln w="3175">
                      <a:noFill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532384" w:rsidRDefault="00532384" w:rsidP="00954DC8">
      <w:r>
        <w:rPr>
          <w:noProof/>
          <w:lang w:eastAsia="de-DE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1127125</wp:posOffset>
            </wp:positionV>
            <wp:extent cx="2413000" cy="3619500"/>
            <wp:effectExtent l="76200" t="38100" r="82550" b="19050"/>
            <wp:wrapTight wrapText="bothSides">
              <wp:wrapPolygon edited="0">
                <wp:start x="-682" y="-227"/>
                <wp:lineTo x="-682" y="21714"/>
                <wp:lineTo x="22168" y="21714"/>
                <wp:lineTo x="22339" y="21714"/>
                <wp:lineTo x="22168" y="21600"/>
                <wp:lineTo x="22168" y="-227"/>
                <wp:lineTo x="-682" y="-227"/>
              </wp:wrapPolygon>
            </wp:wrapTight>
            <wp:docPr id="38" name="Grafik 37" descr="IMG_7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4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3619500"/>
                    </a:xfrm>
                    <a:prstGeom prst="rect">
                      <a:avLst/>
                    </a:prstGeom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532384" w:rsidRDefault="00532384" w:rsidP="00954DC8"/>
    <w:p w:rsidR="00532384" w:rsidRDefault="00532384" w:rsidP="00954DC8"/>
    <w:p w:rsidR="00532384" w:rsidRDefault="00532384" w:rsidP="00954DC8"/>
    <w:p w:rsidR="00532384" w:rsidRDefault="00532384" w:rsidP="00954DC8"/>
    <w:p w:rsidR="00532384" w:rsidRDefault="00532384" w:rsidP="00954DC8"/>
    <w:p w:rsidR="00532384" w:rsidRDefault="00532384" w:rsidP="00954DC8"/>
    <w:p w:rsidR="00532384" w:rsidRDefault="00532384" w:rsidP="00954DC8"/>
    <w:p w:rsidR="008B7FD6" w:rsidRDefault="00B9590B" w:rsidP="008B7FD6">
      <w:pP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noProof/>
          <w:sz w:val="52"/>
          <w:szCs w:val="24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3" type="#_x0000_t32" style="position:absolute;left:0;text-align:left;margin-left:1.9pt;margin-top:44.15pt;width:448.5pt;height:0;z-index:251784192" o:connectortype="straight"/>
        </w:pict>
      </w:r>
    </w:p>
    <w:p w:rsidR="0006684E" w:rsidRPr="00984EF9" w:rsidRDefault="00174CA9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52"/>
          <w:szCs w:val="24"/>
        </w:rPr>
      </w:pPr>
      <w:r>
        <w:rPr>
          <w:rFonts w:asciiTheme="majorHAnsi" w:hAnsiTheme="majorHAnsi" w:cs="Times New Roman"/>
          <w:b/>
          <w:sz w:val="52"/>
          <w:szCs w:val="24"/>
        </w:rPr>
        <w:t>Vom Erz zum Metall</w:t>
      </w:r>
    </w:p>
    <w:p w:rsidR="00984EF9" w:rsidRPr="00984EF9" w:rsidRDefault="00B9590B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noProof/>
          <w:sz w:val="44"/>
          <w:szCs w:val="44"/>
          <w:lang w:eastAsia="de-DE"/>
        </w:rPr>
        <w:pict>
          <v:shape id="_x0000_s1154" type="#_x0000_t32" style="position:absolute;left:0;text-align:left;margin-left:11.65pt;margin-top:34.8pt;width:426.75pt;height:0;z-index:251786240" o:connectortype="straight"/>
        </w:pict>
      </w:r>
      <w:r w:rsidR="00984EF9" w:rsidRPr="00984EF9">
        <w:rPr>
          <w:rFonts w:asciiTheme="majorHAnsi" w:hAnsiTheme="majorHAnsi" w:cs="Times New Roman"/>
          <w:b/>
          <w:sz w:val="44"/>
          <w:szCs w:val="44"/>
        </w:rPr>
        <w:t>Kurzprotokoll</w:t>
      </w:r>
    </w:p>
    <w:p w:rsidR="00A90BD6" w:rsidRDefault="00B9590B">
      <w:pPr>
        <w:pStyle w:val="Inhaltsverzeichnisberschrif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margin-left:0;margin-top:0;width:469.2pt;height:160.35pt;z-index:251782144;mso-position-horizontal:center;mso-width-relative:margin;mso-height-relative:margin" fillcolor="white [3201]" strokecolor="#9bbb59 [3206]" strokeweight="1pt">
            <v:stroke dashstyle="dash"/>
            <v:shadow color="#868686"/>
            <v:textbox>
              <w:txbxContent>
                <w:p w:rsidR="00221086" w:rsidRDefault="00221086">
                  <w:pPr>
                    <w:pBdr>
                      <w:bottom w:val="single" w:sz="6" w:space="1" w:color="auto"/>
                    </w:pBdr>
                    <w:rPr>
                      <w:b/>
                    </w:rPr>
                  </w:pPr>
                  <w:r w:rsidRPr="00A90BD6">
                    <w:rPr>
                      <w:b/>
                    </w:rPr>
                    <w:t>Auf einen Blick:</w:t>
                  </w:r>
                </w:p>
                <w:p w:rsidR="00221086" w:rsidRPr="00F31EBF" w:rsidRDefault="006D0589" w:rsidP="004944F3">
                  <w:pPr>
                    <w:rPr>
                      <w:i/>
                      <w:color w:val="auto"/>
                    </w:rPr>
                  </w:pPr>
                  <w:r>
                    <w:rPr>
                      <w:rFonts w:asciiTheme="majorHAnsi" w:hAnsiTheme="majorHAnsi"/>
                      <w:color w:val="auto"/>
                    </w:rPr>
                    <w:t>Dieses Protokoll enthält zwei Lehrer- und zwei Schülerversuche zum Thema „Vom Erz zum M</w:t>
                  </w:r>
                  <w:r>
                    <w:rPr>
                      <w:rFonts w:asciiTheme="majorHAnsi" w:hAnsiTheme="majorHAnsi"/>
                      <w:color w:val="auto"/>
                    </w:rPr>
                    <w:t>e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tall“ sowie eine Anregung zu einem Versuch zu Kupferrecycling. Das </w:t>
                  </w:r>
                  <w:proofErr w:type="spellStart"/>
                  <w:r>
                    <w:rPr>
                      <w:rFonts w:asciiTheme="majorHAnsi" w:hAnsiTheme="majorHAnsi"/>
                      <w:color w:val="auto"/>
                    </w:rPr>
                    <w:t>Thermitverfahren</w:t>
                  </w:r>
                  <w:proofErr w:type="spellEnd"/>
                  <w:r>
                    <w:rPr>
                      <w:rFonts w:asciiTheme="majorHAnsi" w:hAnsiTheme="majorHAnsi"/>
                      <w:color w:val="auto"/>
                    </w:rPr>
                    <w:t xml:space="preserve"> in Ve</w:t>
                  </w:r>
                  <w:r>
                    <w:rPr>
                      <w:rFonts w:asciiTheme="majorHAnsi" w:hAnsiTheme="majorHAnsi"/>
                      <w:color w:val="auto"/>
                    </w:rPr>
                    <w:t>r</w:t>
                  </w:r>
                  <w:r>
                    <w:rPr>
                      <w:rFonts w:asciiTheme="majorHAnsi" w:hAnsiTheme="majorHAnsi"/>
                      <w:color w:val="auto"/>
                    </w:rPr>
                    <w:t>such 1 veranschaulicht die Sauerstoffübertragungsreaktion und ist wegen seiner Anwendung im Schienenbau interessant. Die elektrolytische Kupferraffination wird phänomenologisch betrac</w:t>
                  </w:r>
                  <w:r>
                    <w:rPr>
                      <w:rFonts w:asciiTheme="majorHAnsi" w:hAnsiTheme="majorHAnsi"/>
                      <w:color w:val="auto"/>
                    </w:rPr>
                    <w:t>h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tet. Erste Grundlagen für das Verfahren der Elektrolyse werden gelegt. In den Versuchen 3 und 4 können die </w:t>
                  </w:r>
                  <w:proofErr w:type="spellStart"/>
                  <w:r>
                    <w:rPr>
                      <w:rFonts w:asciiTheme="majorHAnsi" w:hAnsiTheme="majorHAnsi"/>
                      <w:color w:val="auto"/>
                    </w:rPr>
                    <w:t>SuS</w:t>
                  </w:r>
                  <w:proofErr w:type="spellEnd"/>
                  <w:r>
                    <w:rPr>
                      <w:rFonts w:asciiTheme="majorHAnsi" w:hAnsiTheme="majorHAnsi"/>
                      <w:color w:val="auto"/>
                    </w:rPr>
                    <w:t xml:space="preserve"> eigenständig Sauerstoffübertragungsreaktionen durchführen.   </w:t>
                  </w:r>
                </w:p>
              </w:txbxContent>
            </v:textbox>
          </v:shape>
        </w:pict>
      </w:r>
    </w:p>
    <w:p w:rsidR="00A90BD6" w:rsidRDefault="00A90BD6" w:rsidP="00A90BD6"/>
    <w:p w:rsidR="00A90BD6" w:rsidRDefault="00A90BD6" w:rsidP="00A90BD6"/>
    <w:p w:rsidR="00A90BD6" w:rsidRDefault="00A90BD6" w:rsidP="00A90BD6"/>
    <w:p w:rsidR="00A90BD6" w:rsidRDefault="00A90BD6" w:rsidP="00A90BD6"/>
    <w:p w:rsidR="00A90BD6" w:rsidRPr="00A90BD6" w:rsidRDefault="00A90BD6" w:rsidP="00A90BD6"/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Content>
        <w:p w:rsidR="00E26180" w:rsidRDefault="00E26180">
          <w:pPr>
            <w:pStyle w:val="Inhaltsverzeichnisberschrift"/>
          </w:pPr>
          <w:r w:rsidRPr="00E26180">
            <w:rPr>
              <w:color w:val="auto"/>
            </w:rPr>
            <w:t>Inhalt</w:t>
          </w:r>
        </w:p>
        <w:p w:rsidR="00E26180" w:rsidRPr="00E26180" w:rsidRDefault="00E26180" w:rsidP="00E26180"/>
        <w:p w:rsidR="00D20538" w:rsidRDefault="00B9590B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begin"/>
          </w:r>
          <w:r w:rsidR="00E26180">
            <w:instrText xml:space="preserve"> TOC \o "1-3" \h \z \u </w:instrText>
          </w:r>
          <w:r>
            <w:fldChar w:fldCharType="separate"/>
          </w:r>
          <w:hyperlink w:anchor="_Toc427831387" w:history="1">
            <w:r w:rsidR="00D20538" w:rsidRPr="00A721F3">
              <w:rPr>
                <w:rStyle w:val="Hyperlink"/>
                <w:noProof/>
              </w:rPr>
              <w:t>1</w:t>
            </w:r>
            <w:r w:rsidR="00D20538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D20538" w:rsidRPr="00A721F3">
              <w:rPr>
                <w:rStyle w:val="Hyperlink"/>
                <w:noProof/>
              </w:rPr>
              <w:t>Weitere Lehrerversuche</w:t>
            </w:r>
            <w:r w:rsidR="00D2053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0538">
              <w:rPr>
                <w:noProof/>
                <w:webHidden/>
              </w:rPr>
              <w:instrText xml:space="preserve"> PAGEREF _Toc427831387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1D4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0538" w:rsidRDefault="00B9590B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831388" w:history="1">
            <w:r w:rsidR="00D20538" w:rsidRPr="00A721F3">
              <w:rPr>
                <w:rStyle w:val="Hyperlink"/>
                <w:noProof/>
              </w:rPr>
              <w:t>1.1</w:t>
            </w:r>
            <w:r w:rsidR="00D20538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D20538" w:rsidRPr="00A721F3">
              <w:rPr>
                <w:rStyle w:val="Hyperlink"/>
                <w:noProof/>
              </w:rPr>
              <w:t>V1 – Das Thermitverfahren</w:t>
            </w:r>
            <w:r w:rsidR="00D2053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0538">
              <w:rPr>
                <w:noProof/>
                <w:webHidden/>
              </w:rPr>
              <w:instrText xml:space="preserve"> PAGEREF _Toc427831388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1D4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0538" w:rsidRDefault="00B9590B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831389" w:history="1">
            <w:r w:rsidR="00D20538" w:rsidRPr="00A721F3">
              <w:rPr>
                <w:rStyle w:val="Hyperlink"/>
                <w:noProof/>
              </w:rPr>
              <w:t>1.2</w:t>
            </w:r>
            <w:r w:rsidR="00D20538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D20538" w:rsidRPr="00A721F3">
              <w:rPr>
                <w:rStyle w:val="Hyperlink"/>
                <w:noProof/>
              </w:rPr>
              <w:t>V2 – Elektrolytische Kupferraffination</w:t>
            </w:r>
            <w:r w:rsidR="00D2053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0538">
              <w:rPr>
                <w:noProof/>
                <w:webHidden/>
              </w:rPr>
              <w:instrText xml:space="preserve"> PAGEREF _Toc427831389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1D4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0538" w:rsidRDefault="00B9590B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831390" w:history="1">
            <w:r w:rsidR="00D20538" w:rsidRPr="00A721F3">
              <w:rPr>
                <w:rStyle w:val="Hyperlink"/>
                <w:noProof/>
              </w:rPr>
              <w:t>2</w:t>
            </w:r>
            <w:r w:rsidR="00D20538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D20538" w:rsidRPr="00A721F3">
              <w:rPr>
                <w:rStyle w:val="Hyperlink"/>
                <w:noProof/>
              </w:rPr>
              <w:t>Weitere Schülerversuche</w:t>
            </w:r>
            <w:r w:rsidR="00D2053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0538">
              <w:rPr>
                <w:noProof/>
                <w:webHidden/>
              </w:rPr>
              <w:instrText xml:space="preserve"> PAGEREF _Toc427831390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1D4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0538" w:rsidRDefault="00B9590B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831391" w:history="1">
            <w:r w:rsidR="00D20538" w:rsidRPr="00A721F3">
              <w:rPr>
                <w:rStyle w:val="Hyperlink"/>
                <w:noProof/>
              </w:rPr>
              <w:t>2.1</w:t>
            </w:r>
            <w:r w:rsidR="00D20538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D20538" w:rsidRPr="00A721F3">
              <w:rPr>
                <w:rStyle w:val="Hyperlink"/>
                <w:noProof/>
              </w:rPr>
              <w:t>V3 – Silbergewinnung: Reduktion von Silber(I)-oxid</w:t>
            </w:r>
            <w:r w:rsidR="00D2053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0538">
              <w:rPr>
                <w:noProof/>
                <w:webHidden/>
              </w:rPr>
              <w:instrText xml:space="preserve"> PAGEREF _Toc427831391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1D4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0538" w:rsidRDefault="00B9590B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831392" w:history="1">
            <w:r w:rsidR="00D20538" w:rsidRPr="00A721F3">
              <w:rPr>
                <w:rStyle w:val="Hyperlink"/>
                <w:noProof/>
              </w:rPr>
              <w:t>2.2</w:t>
            </w:r>
            <w:r w:rsidR="00D20538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D20538" w:rsidRPr="00A721F3">
              <w:rPr>
                <w:rStyle w:val="Hyperlink"/>
                <w:noProof/>
              </w:rPr>
              <w:t>V4 – Geröstetes Pyrit</w:t>
            </w:r>
            <w:r w:rsidR="00D2053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0538">
              <w:rPr>
                <w:noProof/>
                <w:webHidden/>
              </w:rPr>
              <w:instrText xml:space="preserve"> PAGEREF _Toc427831392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1D4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180" w:rsidRDefault="00B9590B">
          <w:r>
            <w:fldChar w:fldCharType="end"/>
          </w:r>
        </w:p>
      </w:sdtContent>
    </w:sdt>
    <w:p w:rsidR="00E26180" w:rsidRDefault="00E26180" w:rsidP="00E26180"/>
    <w:p w:rsidR="005B0270" w:rsidRDefault="005B0270" w:rsidP="00E26180"/>
    <w:p w:rsidR="005B0270" w:rsidRPr="005B0270" w:rsidRDefault="005B0270" w:rsidP="005B0270"/>
    <w:p w:rsidR="005B0270" w:rsidRPr="005B0270" w:rsidRDefault="005B0270" w:rsidP="005B0270"/>
    <w:p w:rsidR="005B0270" w:rsidRPr="005B0270" w:rsidRDefault="005B0270" w:rsidP="005B0270"/>
    <w:p w:rsidR="005B0270" w:rsidRDefault="005B0270" w:rsidP="005B0270">
      <w:pPr>
        <w:tabs>
          <w:tab w:val="left" w:pos="3000"/>
        </w:tabs>
      </w:pPr>
      <w:r>
        <w:tab/>
      </w:r>
      <w:bookmarkStart w:id="0" w:name="_GoBack"/>
      <w:bookmarkEnd w:id="0"/>
    </w:p>
    <w:p w:rsidR="005B0270" w:rsidRDefault="005B0270" w:rsidP="005B0270"/>
    <w:p w:rsidR="005B0270" w:rsidRPr="005B0270" w:rsidRDefault="005B0270" w:rsidP="005B0270">
      <w:pPr>
        <w:sectPr w:rsidR="005B0270" w:rsidRPr="005B0270" w:rsidSect="00984EF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:rsidR="0086227B" w:rsidRDefault="00984EF9" w:rsidP="0086227B">
      <w:pPr>
        <w:pStyle w:val="berschrift1"/>
      </w:pPr>
      <w:bookmarkStart w:id="1" w:name="_Toc427831387"/>
      <w:r>
        <w:lastRenderedPageBreak/>
        <w:t xml:space="preserve">Weitere </w:t>
      </w:r>
      <w:r w:rsidR="00977ED8">
        <w:t>Lehrer</w:t>
      </w:r>
      <w:r w:rsidR="00F31EBF">
        <w:t>versuch</w:t>
      </w:r>
      <w:r>
        <w:t>e</w:t>
      </w:r>
      <w:bookmarkEnd w:id="1"/>
    </w:p>
    <w:p w:rsidR="00D76F6F" w:rsidRDefault="00984EF9" w:rsidP="00810A12">
      <w:pPr>
        <w:pStyle w:val="berschrift2"/>
      </w:pPr>
      <w:bookmarkStart w:id="2" w:name="_Toc427831388"/>
      <w:r>
        <w:t xml:space="preserve">V1 – </w:t>
      </w:r>
      <w:r w:rsidR="00174CA9">
        <w:t xml:space="preserve">Das </w:t>
      </w:r>
      <w:proofErr w:type="spellStart"/>
      <w:r w:rsidR="00174CA9">
        <w:t>Thermitverfahren</w:t>
      </w:r>
      <w:bookmarkStart w:id="3" w:name="_Toc425776595"/>
      <w:bookmarkEnd w:id="2"/>
      <w:bookmarkEnd w:id="3"/>
      <w:proofErr w:type="spellEnd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76F6F" w:rsidRPr="009C5E28" w:rsidTr="00AD0630">
        <w:tc>
          <w:tcPr>
            <w:tcW w:w="9322" w:type="dxa"/>
            <w:gridSpan w:val="9"/>
            <w:shd w:val="clear" w:color="auto" w:fill="4F81BD"/>
            <w:vAlign w:val="center"/>
          </w:tcPr>
          <w:p w:rsidR="00D76F6F" w:rsidRPr="00F31EBF" w:rsidRDefault="00D76F6F" w:rsidP="009B429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D76F6F" w:rsidRPr="009C5E28" w:rsidTr="00AD0630">
        <w:trPr>
          <w:trHeight w:val="437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D76F6F" w:rsidRPr="00AD0630" w:rsidRDefault="00AD0630" w:rsidP="00D76F6F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AD0630">
              <w:rPr>
                <w:bCs/>
                <w:sz w:val="20"/>
                <w:szCs w:val="20"/>
              </w:rPr>
              <w:t>Eisen(III)</w:t>
            </w:r>
            <w:proofErr w:type="spellStart"/>
            <w:r w:rsidRPr="00AD0630">
              <w:rPr>
                <w:bCs/>
                <w:sz w:val="20"/>
                <w:szCs w:val="20"/>
              </w:rPr>
              <w:t>oxid</w:t>
            </w:r>
            <w:proofErr w:type="spellEnd"/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D76F6F" w:rsidRPr="00AD0630" w:rsidRDefault="00D77A1E" w:rsidP="009B429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D76F6F" w:rsidRPr="00AD0630" w:rsidRDefault="00D77A1E" w:rsidP="00D76F6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6F6F" w:rsidRPr="009C5E28" w:rsidTr="00AD0630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D76F6F" w:rsidRPr="009C5E28" w:rsidRDefault="00AD0630" w:rsidP="00D76F6F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Aluminiumgrie</w:t>
            </w:r>
            <w:r w:rsidR="00D77A1E">
              <w:rPr>
                <w:color w:val="auto"/>
                <w:sz w:val="20"/>
                <w:szCs w:val="20"/>
              </w:rPr>
              <w:t>ß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D76F6F" w:rsidRPr="009C5E28" w:rsidRDefault="00D77A1E" w:rsidP="009B429F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D76F6F" w:rsidRPr="009C5E28" w:rsidRDefault="00D77A1E" w:rsidP="009B429F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D0630" w:rsidRPr="009C5E28" w:rsidTr="00AD0630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AD0630" w:rsidRDefault="00AD0630" w:rsidP="00D76F6F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Aluminiumpulver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AD0630" w:rsidRPr="009C5E28" w:rsidRDefault="00D77A1E" w:rsidP="009B429F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250-261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AD0630" w:rsidRPr="009C5E28" w:rsidRDefault="00D77A1E" w:rsidP="009B429F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222-431+432-422a</w:t>
            </w:r>
          </w:p>
        </w:tc>
      </w:tr>
      <w:tr w:rsidR="00D77A1E" w:rsidRPr="009C5E28" w:rsidTr="00AD0630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D77A1E" w:rsidRDefault="00D77A1E" w:rsidP="00D76F6F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Magnesiumpulver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D77A1E" w:rsidRPr="009C5E28" w:rsidRDefault="00D77A1E" w:rsidP="009B429F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250-260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D77A1E" w:rsidRPr="009C5E28" w:rsidRDefault="00D77A1E" w:rsidP="009B429F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P: </w:t>
            </w:r>
            <w:r w:rsidR="002707CC">
              <w:rPr>
                <w:sz w:val="20"/>
              </w:rPr>
              <w:t>210-370+378c-402+404</w:t>
            </w:r>
          </w:p>
        </w:tc>
      </w:tr>
      <w:tr w:rsidR="00D77A1E" w:rsidRPr="009C5E28" w:rsidTr="00AD0630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D77A1E" w:rsidRDefault="00D77A1E" w:rsidP="00D76F6F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Magnesiumband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D77A1E" w:rsidRPr="009C5E28" w:rsidRDefault="003208AC" w:rsidP="009B429F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D77A1E" w:rsidRPr="009C5E28" w:rsidRDefault="003208AC" w:rsidP="009B429F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76F6F" w:rsidRPr="009C5E28" w:rsidTr="00AD0630">
        <w:tc>
          <w:tcPr>
            <w:tcW w:w="1009" w:type="dxa"/>
            <w:shd w:val="clear" w:color="auto" w:fill="auto"/>
            <w:vAlign w:val="center"/>
          </w:tcPr>
          <w:p w:rsidR="00D76F6F" w:rsidRPr="009C5E28" w:rsidRDefault="003208AC" w:rsidP="00D76F6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3" name="Grafik 2" descr="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76F6F" w:rsidRPr="009C5E28" w:rsidRDefault="00D77A1E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1" name="Grafik 0" descr="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nbar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76F6F" w:rsidRPr="009C5E28" w:rsidRDefault="003208AC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2" name="Grafik 1" descr="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08AC" w:rsidRDefault="003208AC" w:rsidP="008E1A25">
      <w:pPr>
        <w:tabs>
          <w:tab w:val="left" w:pos="1701"/>
          <w:tab w:val="left" w:pos="1985"/>
        </w:tabs>
        <w:ind w:left="1980" w:hanging="1980"/>
      </w:pPr>
    </w:p>
    <w:p w:rsidR="00E131A5" w:rsidRDefault="008E1A25" w:rsidP="008E1A25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3208AC">
        <w:t xml:space="preserve">Stativständer, Stativring, Stativklemme, </w:t>
      </w:r>
      <w:proofErr w:type="spellStart"/>
      <w:r w:rsidR="002707CC">
        <w:t>Ton</w:t>
      </w:r>
      <w:r w:rsidR="003208AC">
        <w:t>topf</w:t>
      </w:r>
      <w:proofErr w:type="spellEnd"/>
      <w:r w:rsidR="002707CC">
        <w:t xml:space="preserve">, Sand, </w:t>
      </w:r>
      <w:r w:rsidR="003208AC">
        <w:t>Papierhülse, Metal</w:t>
      </w:r>
      <w:r w:rsidR="003208AC">
        <w:t>l</w:t>
      </w:r>
      <w:r w:rsidR="003208AC">
        <w:t>schüssel</w:t>
      </w:r>
    </w:p>
    <w:p w:rsidR="008E1A25" w:rsidRPr="00ED07C2" w:rsidRDefault="00A9233D" w:rsidP="008E1A25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055784">
        <w:t>15 g Eisenpulver, 5 g Aluminiumgrieß, 0.5 g Aluminiumpulver</w:t>
      </w:r>
    </w:p>
    <w:p w:rsidR="00994634" w:rsidRDefault="008E1A25" w:rsidP="008E1A25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="003208AC">
        <w:t>Zunächst werden Aluminiumpulver, Aluminiumgrieß und Eisen(III)</w:t>
      </w:r>
      <w:proofErr w:type="spellStart"/>
      <w:r w:rsidR="003208AC">
        <w:t>oxid</w:t>
      </w:r>
      <w:proofErr w:type="spellEnd"/>
      <w:r w:rsidR="003208AC">
        <w:t xml:space="preserve"> im Becherglas gemischt. Dieses sogenannte </w:t>
      </w:r>
      <w:proofErr w:type="spellStart"/>
      <w:r w:rsidR="003208AC">
        <w:t>Thermit</w:t>
      </w:r>
      <w:proofErr w:type="spellEnd"/>
      <w:r w:rsidR="003208AC">
        <w:t>-Gemisch wird in die P</w:t>
      </w:r>
      <w:r w:rsidR="003208AC">
        <w:t>a</w:t>
      </w:r>
      <w:r w:rsidR="003208AC">
        <w:t xml:space="preserve">pierhülse gefüllt. Die Papierhülse wird mithilfe von Sand in dem </w:t>
      </w:r>
      <w:proofErr w:type="spellStart"/>
      <w:r w:rsidR="003208AC">
        <w:t>Tontopf</w:t>
      </w:r>
      <w:proofErr w:type="spellEnd"/>
      <w:r w:rsidR="003208AC">
        <w:t xml:space="preserve"> über der unteren Öffnung fixiert. </w:t>
      </w:r>
      <w:r w:rsidR="009B429F">
        <w:t xml:space="preserve">Der Sand sollte die Papierhülse komplett umschließen, damit diese nicht umfällt. </w:t>
      </w:r>
      <w:r w:rsidR="003208AC">
        <w:t xml:space="preserve">Das </w:t>
      </w:r>
      <w:proofErr w:type="spellStart"/>
      <w:r w:rsidR="003208AC">
        <w:t>Thermit</w:t>
      </w:r>
      <w:proofErr w:type="spellEnd"/>
      <w:r w:rsidR="003208AC">
        <w:t>-Gemisch wird mit e</w:t>
      </w:r>
      <w:r w:rsidR="003208AC">
        <w:t>i</w:t>
      </w:r>
      <w:r w:rsidR="003208AC">
        <w:t>ner dünnen Schicht Magnesiumpulver bedeckt. Als Zünder w</w:t>
      </w:r>
      <w:r w:rsidR="009B429F">
        <w:t>e</w:t>
      </w:r>
      <w:r w:rsidR="003208AC">
        <w:t>rden zwei verdrillte Ma</w:t>
      </w:r>
      <w:r w:rsidR="00E131A5">
        <w:t>gnesiumbänder verwendet, welche</w:t>
      </w:r>
      <w:r w:rsidR="003208AC">
        <w:t xml:space="preserve"> in das </w:t>
      </w:r>
      <w:proofErr w:type="spellStart"/>
      <w:r w:rsidR="003208AC">
        <w:t>Thermit</w:t>
      </w:r>
      <w:proofErr w:type="spellEnd"/>
      <w:r w:rsidR="003208AC">
        <w:t>-Gemisch gesteckt w</w:t>
      </w:r>
      <w:r w:rsidR="00E131A5">
        <w:t>erden</w:t>
      </w:r>
      <w:r w:rsidR="003208AC">
        <w:t xml:space="preserve">. Unter den </w:t>
      </w:r>
      <w:proofErr w:type="spellStart"/>
      <w:r w:rsidR="003208AC">
        <w:t>Tontopf</w:t>
      </w:r>
      <w:proofErr w:type="spellEnd"/>
      <w:r w:rsidR="003208AC">
        <w:t xml:space="preserve"> wird die Metallschüssel mit Sand g</w:t>
      </w:r>
      <w:r w:rsidR="003208AC">
        <w:t>e</w:t>
      </w:r>
      <w:r w:rsidR="003208AC">
        <w:t xml:space="preserve">stellt. </w:t>
      </w:r>
      <w:r w:rsidR="009B429F">
        <w:t>Der Versuch sollte im Freien durchgeführt werden und ein Siche</w:t>
      </w:r>
      <w:r w:rsidR="009B429F">
        <w:t>r</w:t>
      </w:r>
      <w:r w:rsidR="009B429F">
        <w:t xml:space="preserve">heitsabstand von 2 m eingehalten werden! Das Produkt wird mit einem in Papier eingewickelten Magneten untersucht. </w:t>
      </w:r>
    </w:p>
    <w:p w:rsidR="008E1A25" w:rsidRDefault="008E1A25" w:rsidP="008E1A25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 w:rsidR="009B429F">
        <w:t xml:space="preserve">Nach Entzünden des Magnesiumbandes kann eine intensiv helle Flamme inklusive Funkenbildung beobachtet werden. </w:t>
      </w:r>
      <w:r w:rsidR="00E131A5">
        <w:t>Die Flü</w:t>
      </w:r>
      <w:r w:rsidR="009B429F">
        <w:t>ssigkeit ergießt sich durch die untere Öffnung des Tontopfes</w:t>
      </w:r>
      <w:r w:rsidR="00E131A5">
        <w:t xml:space="preserve"> in die Sandwanne</w:t>
      </w:r>
      <w:r w:rsidR="009B429F">
        <w:t xml:space="preserve">. Nach Ende der Reaktion hat sich in der Metallschüssel ein teilweise metallisch glänzender Brocken gebildet, der magnetisch ist. </w:t>
      </w:r>
    </w:p>
    <w:p w:rsidR="00B901F6" w:rsidRDefault="00A47C03" w:rsidP="00A47C03">
      <w:pPr>
        <w:keepNext/>
        <w:tabs>
          <w:tab w:val="left" w:pos="1701"/>
          <w:tab w:val="left" w:pos="1985"/>
        </w:tabs>
        <w:ind w:left="1980" w:hanging="1980"/>
        <w:jc w:val="right"/>
      </w:pPr>
      <w:r>
        <w:rPr>
          <w:noProof/>
          <w:lang w:eastAsia="de-DE"/>
        </w:rPr>
        <w:lastRenderedPageBreak/>
        <w:drawing>
          <wp:inline distT="0" distB="0" distL="0" distR="0">
            <wp:extent cx="4438650" cy="2391727"/>
            <wp:effectExtent l="0" t="1028700" r="0" b="999173"/>
            <wp:docPr id="44" name="Grafik 43" descr="IMG_7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36.JPG"/>
                    <pic:cNvPicPr/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38650" cy="239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1F6" w:rsidRDefault="00B901F6" w:rsidP="00A47C03">
      <w:pPr>
        <w:pStyle w:val="Beschriftung"/>
        <w:ind w:left="1134" w:firstLine="993"/>
        <w:jc w:val="left"/>
      </w:pPr>
      <w:r>
        <w:t xml:space="preserve">Abb. </w:t>
      </w:r>
      <w:fldSimple w:instr=" SEQ Abb. \* ARABIC ">
        <w:r w:rsidR="00931D4D">
          <w:rPr>
            <w:noProof/>
          </w:rPr>
          <w:t>1</w:t>
        </w:r>
      </w:fldSimple>
      <w:r>
        <w:t xml:space="preserve"> - </w:t>
      </w:r>
      <w:r>
        <w:rPr>
          <w:noProof/>
        </w:rPr>
        <w:t xml:space="preserve"> </w:t>
      </w:r>
      <w:r w:rsidR="00C258AD">
        <w:rPr>
          <w:noProof/>
        </w:rPr>
        <w:t>Thermitverfahren</w:t>
      </w:r>
      <w:r w:rsidR="00A0582F">
        <w:rPr>
          <w:noProof/>
        </w:rPr>
        <w:t>.</w:t>
      </w:r>
    </w:p>
    <w:p w:rsidR="00074A34" w:rsidRPr="00074A34" w:rsidRDefault="008E1A25" w:rsidP="00074A34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 w:rsidR="00125CEA">
        <w:tab/>
      </w:r>
      <w:r w:rsidR="009B429F">
        <w:t xml:space="preserve">Bei dieser Reaktion </w:t>
      </w:r>
      <w:r w:rsidR="00F9113E">
        <w:t>wird Sauerstoff übertragen. In einer stark exothe</w:t>
      </w:r>
      <w:r w:rsidR="00F9113E">
        <w:t>r</w:t>
      </w:r>
      <w:r w:rsidR="00F9113E">
        <w:t>men Reaktion reagiert Eisen(III)</w:t>
      </w:r>
      <w:proofErr w:type="spellStart"/>
      <w:r w:rsidR="00F9113E">
        <w:t>oxid</w:t>
      </w:r>
      <w:proofErr w:type="spellEnd"/>
      <w:r w:rsidR="00F9113E">
        <w:t xml:space="preserve"> mit Aluminiumpulver zu Roheisen und Aluminiumoxid. </w:t>
      </w:r>
      <w:r w:rsidR="00E131A5">
        <w:t>Das flüssige Eisen sinkt</w:t>
      </w:r>
      <w:r w:rsidR="009B429F">
        <w:t xml:space="preserve"> in</w:t>
      </w:r>
      <w:r w:rsidR="00F9113E">
        <w:t xml:space="preserve"> der </w:t>
      </w:r>
      <w:proofErr w:type="spellStart"/>
      <w:r w:rsidR="00F9113E">
        <w:t>Thermitschmelze</w:t>
      </w:r>
      <w:proofErr w:type="spellEnd"/>
      <w:r w:rsidR="00F9113E">
        <w:t xml:space="preserve"> nach unten, </w:t>
      </w:r>
      <w:r w:rsidR="009B429F">
        <w:t>fließt aus dem Loch</w:t>
      </w:r>
      <w:r w:rsidR="00F9113E">
        <w:t xml:space="preserve"> und wird zu dem beobachteten „Brocken“. </w:t>
      </w:r>
    </w:p>
    <w:p w:rsidR="00994634" w:rsidRDefault="00074A34" w:rsidP="00125CEA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</w:r>
      <w:r w:rsidR="00F9113E">
        <w:t>Die Sauerstoffübertragungsreaktion als Gleichung:</w:t>
      </w:r>
    </w:p>
    <w:p w:rsidR="00EA0FBA" w:rsidRPr="00EA0FBA" w:rsidRDefault="00EA0FBA" w:rsidP="00E131A5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Eisenoxid+Aluminium ⟶Eisen+Aluminiumoxid</m:t>
          </m:r>
        </m:oMath>
      </m:oMathPara>
    </w:p>
    <w:p w:rsidR="00216E3C" w:rsidRPr="00EA0FBA" w:rsidRDefault="006D0589" w:rsidP="00EA0FBA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>Entsorgung:</w:t>
      </w:r>
      <w:r>
        <w:tab/>
        <w:t xml:space="preserve">        </w:t>
      </w:r>
      <w:r w:rsidR="00EA0FBA">
        <w:t xml:space="preserve">Die Reste werden im Abfallbehälter für anorganische Stoffe entsorgt. </w:t>
      </w:r>
      <w:r w:rsidR="00216E3C">
        <w:t xml:space="preserve"> </w:t>
      </w:r>
    </w:p>
    <w:p w:rsidR="005B60E3" w:rsidRDefault="00F17765" w:rsidP="005B60E3">
      <w:pPr>
        <w:spacing w:line="276" w:lineRule="auto"/>
        <w:jc w:val="left"/>
      </w:pPr>
      <w:r>
        <w:t>Literatur:</w:t>
      </w:r>
      <w:r>
        <w:tab/>
      </w:r>
      <w:r>
        <w:tab/>
      </w:r>
      <w:r w:rsidR="006D0589">
        <w:t xml:space="preserve">Irmer E. (2008): </w:t>
      </w:r>
      <w:r w:rsidR="006D0589" w:rsidRPr="006D0589">
        <w:rPr>
          <w:i/>
        </w:rPr>
        <w:t>Elemente Chemie 7/8</w:t>
      </w:r>
      <w:r w:rsidR="006D0589">
        <w:t>. Stuttgart: Klett-Verlag, S. 91.</w:t>
      </w:r>
    </w:p>
    <w:p w:rsidR="00D20538" w:rsidRDefault="00D20538" w:rsidP="005B60E3">
      <w:pPr>
        <w:spacing w:line="276" w:lineRule="auto"/>
        <w:jc w:val="left"/>
        <w:rPr>
          <w:color w:val="auto"/>
        </w:rPr>
      </w:pPr>
    </w:p>
    <w:p w:rsidR="00E131A5" w:rsidRDefault="00E131A5" w:rsidP="005B60E3">
      <w:pPr>
        <w:spacing w:line="276" w:lineRule="auto"/>
        <w:jc w:val="left"/>
        <w:rPr>
          <w:color w:val="auto"/>
        </w:rPr>
      </w:pPr>
    </w:p>
    <w:p w:rsidR="00E131A5" w:rsidRDefault="00E131A5" w:rsidP="005B60E3">
      <w:pPr>
        <w:spacing w:line="276" w:lineRule="auto"/>
        <w:jc w:val="left"/>
        <w:rPr>
          <w:color w:val="auto"/>
        </w:rPr>
      </w:pPr>
    </w:p>
    <w:p w:rsidR="00E131A5" w:rsidRDefault="00E131A5" w:rsidP="005B60E3">
      <w:pPr>
        <w:spacing w:line="276" w:lineRule="auto"/>
        <w:jc w:val="left"/>
        <w:rPr>
          <w:color w:val="auto"/>
        </w:rPr>
      </w:pPr>
    </w:p>
    <w:p w:rsidR="00D421E4" w:rsidRDefault="00D421E4" w:rsidP="00D421E4">
      <w:pPr>
        <w:pStyle w:val="berschrift2"/>
      </w:pPr>
      <w:bookmarkStart w:id="4" w:name="_Toc427831389"/>
      <w:r>
        <w:lastRenderedPageBreak/>
        <w:t>V2 – Elektrolytische Kupferraffination</w:t>
      </w:r>
      <w:bookmarkEnd w:id="4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421E4" w:rsidRPr="009C5E28" w:rsidTr="00221086">
        <w:tc>
          <w:tcPr>
            <w:tcW w:w="9322" w:type="dxa"/>
            <w:gridSpan w:val="9"/>
            <w:shd w:val="clear" w:color="auto" w:fill="4F81BD"/>
            <w:vAlign w:val="center"/>
          </w:tcPr>
          <w:p w:rsidR="00D421E4" w:rsidRPr="00F31EBF" w:rsidRDefault="00D421E4" w:rsidP="00221086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D421E4" w:rsidRPr="009C5E28" w:rsidTr="00D421E4">
        <w:trPr>
          <w:trHeight w:val="458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D421E4" w:rsidRPr="00AD0630" w:rsidRDefault="00D421E4" w:rsidP="0022108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Schwefelsäure 0.5 </w:t>
            </w:r>
            <w:proofErr w:type="spellStart"/>
            <w:r>
              <w:rPr>
                <w:bCs/>
                <w:sz w:val="20"/>
                <w:szCs w:val="20"/>
              </w:rPr>
              <w:t>mol</w:t>
            </w:r>
            <w:proofErr w:type="spellEnd"/>
            <w:r>
              <w:rPr>
                <w:bCs/>
                <w:sz w:val="20"/>
                <w:szCs w:val="20"/>
              </w:rPr>
              <w:t xml:space="preserve">/L 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D421E4" w:rsidRPr="00AD0630" w:rsidRDefault="00D421E4" w:rsidP="0022108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D421E4" w:rsidRPr="00AD0630" w:rsidRDefault="00D421E4" w:rsidP="0022108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21E4" w:rsidRPr="009C5E28" w:rsidTr="00221086">
        <w:trPr>
          <w:trHeight w:val="437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D421E4" w:rsidRDefault="00D421E4" w:rsidP="0022108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Kupfersulfat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D421E4" w:rsidRDefault="00D421E4" w:rsidP="0022108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302-315-319-410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D421E4" w:rsidRDefault="00D421E4" w:rsidP="0022108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273-305+351+338+-302+358</w:t>
            </w:r>
          </w:p>
        </w:tc>
      </w:tr>
      <w:tr w:rsidR="00D421E4" w:rsidRPr="009C5E28" w:rsidTr="00221086">
        <w:tc>
          <w:tcPr>
            <w:tcW w:w="1009" w:type="dxa"/>
            <w:shd w:val="clear" w:color="auto" w:fill="auto"/>
            <w:vAlign w:val="center"/>
          </w:tcPr>
          <w:p w:rsidR="00D421E4" w:rsidRPr="009C5E28" w:rsidRDefault="00D421E4" w:rsidP="00221086">
            <w:pPr>
              <w:spacing w:after="0"/>
              <w:jc w:val="center"/>
              <w:rPr>
                <w:b/>
                <w:bCs/>
              </w:rPr>
            </w:pPr>
            <w:r w:rsidRPr="00D421E4"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63" name="Grafik 2" descr="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421E4" w:rsidRPr="009C5E28" w:rsidRDefault="00D421E4" w:rsidP="00221086">
            <w:pPr>
              <w:spacing w:after="0"/>
              <w:jc w:val="center"/>
            </w:pPr>
            <w:r w:rsidRPr="00D421E4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4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421E4" w:rsidRPr="009C5E28" w:rsidRDefault="00D421E4" w:rsidP="0022108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50" name="Grafik 23" descr="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nbar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421E4" w:rsidRPr="009C5E28" w:rsidRDefault="00D421E4" w:rsidP="0022108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1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D421E4" w:rsidRPr="009C5E28" w:rsidRDefault="00D421E4" w:rsidP="0022108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2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21E4" w:rsidRPr="009C5E28" w:rsidRDefault="00D421E4" w:rsidP="0022108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9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421E4" w:rsidRPr="009C5E28" w:rsidRDefault="00D421E4" w:rsidP="0022108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0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421E4" w:rsidRPr="009C5E28" w:rsidRDefault="00D421E4" w:rsidP="0022108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65" name="Grafik 64" descr="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1E4" w:rsidRPr="009C5E28" w:rsidRDefault="00D421E4" w:rsidP="0022108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930" cy="582930"/>
                  <wp:effectExtent l="19050" t="0" r="7620" b="0"/>
                  <wp:docPr id="66" name="Grafik 65" descr="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21E4" w:rsidRDefault="00D421E4" w:rsidP="00D421E4"/>
    <w:p w:rsidR="00D421E4" w:rsidRPr="00ED07C2" w:rsidRDefault="00E131A5" w:rsidP="00D421E4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U-R</w:t>
      </w:r>
      <w:r w:rsidR="00D421E4">
        <w:t>ohr, Tran</w:t>
      </w:r>
      <w:r w:rsidR="00513570">
        <w:t xml:space="preserve">sformator mit Gleichspannung, Messing- und Kupferelektrode, Kabel, Krokodilklemmen, </w:t>
      </w:r>
      <w:r w:rsidR="00D421E4">
        <w:t>Stativ</w:t>
      </w:r>
      <w:r w:rsidR="00513570">
        <w:t xml:space="preserve"> mit</w:t>
      </w:r>
      <w:r w:rsidR="00D421E4">
        <w:t xml:space="preserve"> Stativklemme, Che</w:t>
      </w:r>
      <w:r w:rsidR="00513570">
        <w:t>mikalien.</w:t>
      </w:r>
      <w:r w:rsidR="00513570">
        <w:tab/>
      </w:r>
    </w:p>
    <w:p w:rsidR="00D421E4" w:rsidRDefault="00D421E4" w:rsidP="00D421E4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="00513570">
        <w:t>Die Schwefelsäur</w:t>
      </w:r>
      <w:r w:rsidR="00234B2A">
        <w:t>e</w:t>
      </w:r>
      <w:r w:rsidR="00513570">
        <w:t xml:space="preserve"> </w:t>
      </w:r>
      <w:r w:rsidR="00234B2A">
        <w:t>wi</w:t>
      </w:r>
      <w:r w:rsidR="00513570">
        <w:t>r</w:t>
      </w:r>
      <w:r w:rsidR="00234B2A">
        <w:t>d</w:t>
      </w:r>
      <w:r w:rsidR="00513570">
        <w:t xml:space="preserve"> in das U</w:t>
      </w:r>
      <w:r w:rsidR="00234B2A">
        <w:t>-R</w:t>
      </w:r>
      <w:r w:rsidR="00513570">
        <w:t>ohr gegebe</w:t>
      </w:r>
      <w:r w:rsidR="00234B2A">
        <w:t>n, welches am Stativ befestigt ist.</w:t>
      </w:r>
      <w:r w:rsidR="00513570">
        <w:t xml:space="preserve"> Die Elektroden werden auf der jeweiligen Seite in d</w:t>
      </w:r>
      <w:r w:rsidR="00234B2A">
        <w:t>ie Schwefelsäure g</w:t>
      </w:r>
      <w:r w:rsidR="00234B2A">
        <w:t>e</w:t>
      </w:r>
      <w:r w:rsidR="00234B2A">
        <w:t>taucht. Der Pluspol wird mit der Messingelektrode verbunden, der Minu</w:t>
      </w:r>
      <w:r w:rsidR="00234B2A">
        <w:t>s</w:t>
      </w:r>
      <w:r w:rsidR="00234B2A">
        <w:t>pol mit der Kupferelektrode. Es wird eine Spannung von ca. 5 Volt eing</w:t>
      </w:r>
      <w:r w:rsidR="00234B2A">
        <w:t>e</w:t>
      </w:r>
      <w:r w:rsidR="00234B2A">
        <w:t xml:space="preserve">stellt. </w:t>
      </w:r>
    </w:p>
    <w:p w:rsidR="00D421E4" w:rsidRDefault="00D421E4" w:rsidP="00D421E4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 w:rsidR="00234B2A">
        <w:t xml:space="preserve">An der Kupferelektrode </w:t>
      </w:r>
      <w:r w:rsidR="00E131A5">
        <w:t>kann</w:t>
      </w:r>
      <w:r w:rsidR="00234B2A">
        <w:t xml:space="preserve"> eine Gasentwicklung</w:t>
      </w:r>
      <w:r w:rsidR="00E131A5">
        <w:t xml:space="preserve"> beobachtet werden</w:t>
      </w:r>
      <w:r w:rsidR="00234B2A">
        <w:t xml:space="preserve">. An der Messingelektrode entstehen nach ein paar Minuten blaue Schlieren. </w:t>
      </w:r>
    </w:p>
    <w:p w:rsidR="0034146A" w:rsidRDefault="006D0589" w:rsidP="006D0589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2705100" cy="2152650"/>
            <wp:effectExtent l="19050" t="0" r="0" b="0"/>
            <wp:docPr id="68" name="Grafik 67" descr="IMG_7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934.JPG"/>
                    <pic:cNvPicPr/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1E4" w:rsidRDefault="00D421E4" w:rsidP="00D421E4">
      <w:pPr>
        <w:pStyle w:val="Beschriftung"/>
        <w:ind w:left="1134" w:firstLine="993"/>
        <w:jc w:val="left"/>
      </w:pPr>
      <w:r>
        <w:t xml:space="preserve">Abb. </w:t>
      </w:r>
      <w:r w:rsidR="0034146A">
        <w:t>2</w:t>
      </w:r>
      <w:r>
        <w:t xml:space="preserve"> - </w:t>
      </w:r>
      <w:r>
        <w:rPr>
          <w:noProof/>
        </w:rPr>
        <w:t xml:space="preserve"> </w:t>
      </w:r>
      <w:r w:rsidR="0034146A">
        <w:rPr>
          <w:noProof/>
        </w:rPr>
        <w:t>Elektrolytische Kupferraffination</w:t>
      </w:r>
      <w:r>
        <w:rPr>
          <w:noProof/>
        </w:rPr>
        <w:t>.</w:t>
      </w:r>
    </w:p>
    <w:p w:rsidR="00D421E4" w:rsidRPr="0034146A" w:rsidRDefault="00D421E4" w:rsidP="0034146A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</w:r>
      <w:r w:rsidR="00221086">
        <w:t xml:space="preserve">An der Messingelektrode gehen Kupferionen in Lösung, was an der blauen Farbe </w:t>
      </w:r>
      <w:r w:rsidR="00E131A5">
        <w:t>zu erkennen ist</w:t>
      </w:r>
      <w:r w:rsidR="00221086">
        <w:t xml:space="preserve"> (nötiges Vorwissen: </w:t>
      </w:r>
      <w:r w:rsidR="0034146A">
        <w:t xml:space="preserve">Kupfersulfat </w:t>
      </w:r>
      <w:r w:rsidR="00E131A5">
        <w:t>erscheint</w:t>
      </w:r>
      <w:r w:rsidR="0034146A">
        <w:t xml:space="preserve"> in wäs</w:t>
      </w:r>
      <w:r w:rsidR="0034146A">
        <w:t>s</w:t>
      </w:r>
      <w:r w:rsidR="0034146A">
        <w:t>riger Lö</w:t>
      </w:r>
      <w:r w:rsidR="00221086">
        <w:t xml:space="preserve">sung blau). </w:t>
      </w:r>
      <w:r w:rsidR="0034146A">
        <w:t>Die Gasentwicklung an der Kathode wird in Jahrgang</w:t>
      </w:r>
      <w:r w:rsidR="0034146A">
        <w:t>s</w:t>
      </w:r>
      <w:r w:rsidR="0034146A">
        <w:t>stufe 7 &amp; 8 vernachlässigt.</w:t>
      </w:r>
    </w:p>
    <w:p w:rsidR="00D421E4" w:rsidRPr="00EA0FBA" w:rsidRDefault="0034146A" w:rsidP="00D421E4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>Entsorgung:</w:t>
      </w:r>
      <w:r>
        <w:tab/>
        <w:t xml:space="preserve">     Die Elektrolytlösung wird neutralisiert und in den Schwermetallbehälter gegeben. </w:t>
      </w:r>
    </w:p>
    <w:p w:rsidR="00D421E4" w:rsidRDefault="00D421E4" w:rsidP="006D0589">
      <w:pPr>
        <w:ind w:left="1985" w:hanging="1985"/>
        <w:jc w:val="left"/>
      </w:pPr>
      <w:r>
        <w:lastRenderedPageBreak/>
        <w:t>Lite</w:t>
      </w:r>
      <w:r w:rsidR="0034146A">
        <w:t>ratur:</w:t>
      </w:r>
      <w:r w:rsidR="0034146A">
        <w:tab/>
        <w:t xml:space="preserve">Blume R. (10.Juni 2013): </w:t>
      </w:r>
      <w:r w:rsidR="0034146A" w:rsidRPr="0034146A">
        <w:rPr>
          <w:i/>
        </w:rPr>
        <w:t>Versuch: Kupferraffination</w:t>
      </w:r>
      <w:r w:rsidR="0034146A">
        <w:rPr>
          <w:i/>
        </w:rPr>
        <w:t xml:space="preserve">. </w:t>
      </w:r>
      <w:r w:rsidR="0034146A">
        <w:t xml:space="preserve">In </w:t>
      </w:r>
      <w:r w:rsidR="0034146A" w:rsidRPr="0034146A">
        <w:t>http://www.chemieunterricht.de/dc2/echemie/curaffv.htm</w:t>
      </w:r>
      <w:r w:rsidR="0034146A">
        <w:t xml:space="preserve"> (Zuletzt abg</w:t>
      </w:r>
      <w:r w:rsidR="0034146A">
        <w:t>e</w:t>
      </w:r>
      <w:r w:rsidR="0034146A">
        <w:t xml:space="preserve">rufen am 04.08.2015 um 21:38). </w:t>
      </w:r>
    </w:p>
    <w:p w:rsidR="0034146A" w:rsidRPr="0034146A" w:rsidRDefault="00B9590B" w:rsidP="0034146A">
      <w:pPr>
        <w:spacing w:line="276" w:lineRule="auto"/>
        <w:ind w:left="1985" w:hanging="1985"/>
        <w:jc w:val="left"/>
        <w:rPr>
          <w:color w:val="0000FF" w:themeColor="hyperlink"/>
          <w:u w:val="single"/>
        </w:rPr>
      </w:pPr>
      <w:r w:rsidRPr="00B9590B">
        <w:pict>
          <v:shape id="_x0000_s1155" type="#_x0000_t202" style="width:462.45pt;height:91.4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155">
              <w:txbxContent>
                <w:p w:rsidR="0034146A" w:rsidRPr="00F31EBF" w:rsidRDefault="0034146A" w:rsidP="0034146A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Alternative: Der Versuch kann mit demselben Versuchsaufbau und Kupfersulfat durchgeführt werden. Dabei </w:t>
                  </w:r>
                  <w:r w:rsidR="00E131A5">
                    <w:rPr>
                      <w:color w:val="auto"/>
                    </w:rPr>
                    <w:t>kann anstatt blauer</w:t>
                  </w:r>
                  <w:r>
                    <w:rPr>
                      <w:color w:val="auto"/>
                    </w:rPr>
                    <w:t xml:space="preserve"> Schlieren</w:t>
                  </w:r>
                  <w:r w:rsidR="00E131A5">
                    <w:rPr>
                      <w:color w:val="auto"/>
                    </w:rPr>
                    <w:t>,</w:t>
                  </w:r>
                  <w:r>
                    <w:rPr>
                      <w:color w:val="auto"/>
                    </w:rPr>
                    <w:t xml:space="preserve"> als Indiz für das Lösen von Kupfer</w:t>
                  </w:r>
                  <w:r w:rsidR="00E131A5">
                    <w:rPr>
                      <w:color w:val="auto"/>
                    </w:rPr>
                    <w:t>, das Absche</w:t>
                  </w:r>
                  <w:r w:rsidR="00E131A5">
                    <w:rPr>
                      <w:color w:val="auto"/>
                    </w:rPr>
                    <w:t>i</w:t>
                  </w:r>
                  <w:r w:rsidR="00E131A5">
                    <w:rPr>
                      <w:color w:val="auto"/>
                    </w:rPr>
                    <w:t>den von elementarem Kupfer beobachtet werden.</w:t>
                  </w:r>
                  <w:r>
                    <w:rPr>
                      <w:color w:val="auto"/>
                    </w:rPr>
                    <w:t xml:space="preserve"> </w:t>
                  </w:r>
                  <w:r w:rsidR="00E131A5">
                    <w:rPr>
                      <w:color w:val="auto"/>
                    </w:rPr>
                    <w:t>Die Versuche sollten hintereinander durc</w:t>
                  </w:r>
                  <w:r w:rsidR="00E131A5">
                    <w:rPr>
                      <w:color w:val="auto"/>
                    </w:rPr>
                    <w:t>h</w:t>
                  </w:r>
                  <w:r w:rsidR="00E131A5">
                    <w:rPr>
                      <w:color w:val="auto"/>
                    </w:rPr>
                    <w:t>geführt werden.</w:t>
                  </w:r>
                </w:p>
              </w:txbxContent>
            </v:textbox>
            <w10:wrap type="none"/>
            <w10:anchorlock/>
          </v:shape>
        </w:pict>
      </w:r>
    </w:p>
    <w:p w:rsidR="004424EA" w:rsidRPr="006E32AF" w:rsidRDefault="004424EA" w:rsidP="004424EA">
      <w:pPr>
        <w:pStyle w:val="berschrift1"/>
        <w:rPr>
          <w:rFonts w:eastAsiaTheme="minorEastAsia"/>
        </w:rPr>
      </w:pPr>
      <w:bookmarkStart w:id="5" w:name="_Toc427831390"/>
      <w:r>
        <w:rPr>
          <w:rFonts w:eastAsiaTheme="minorEastAsia"/>
        </w:rPr>
        <w:t>Weitere Schülerversuche</w:t>
      </w:r>
      <w:bookmarkEnd w:id="5"/>
    </w:p>
    <w:p w:rsidR="00AF5661" w:rsidRDefault="00BA2B9B" w:rsidP="00AF5661">
      <w:pPr>
        <w:pStyle w:val="berschrift2"/>
      </w:pPr>
      <w:bookmarkStart w:id="6" w:name="_Toc427831391"/>
      <w:r>
        <w:t>V</w:t>
      </w:r>
      <w:r w:rsidR="006D0589">
        <w:t>3</w:t>
      </w:r>
      <w:r w:rsidR="00984EF9">
        <w:t xml:space="preserve"> – </w:t>
      </w:r>
      <w:r w:rsidR="004424EA">
        <w:t>Silbergewinnung: Reduktion von Silber(I)-</w:t>
      </w:r>
      <w:proofErr w:type="spellStart"/>
      <w:r w:rsidR="004424EA">
        <w:t>oxid</w:t>
      </w:r>
      <w:bookmarkEnd w:id="6"/>
      <w:proofErr w:type="spellEnd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AF5661" w:rsidRPr="009C5E28" w:rsidTr="00516EFA">
        <w:tc>
          <w:tcPr>
            <w:tcW w:w="9322" w:type="dxa"/>
            <w:gridSpan w:val="9"/>
            <w:shd w:val="clear" w:color="auto" w:fill="4F81BD"/>
            <w:vAlign w:val="center"/>
          </w:tcPr>
          <w:p w:rsidR="00AF5661" w:rsidRPr="00F31EBF" w:rsidRDefault="00AF5661" w:rsidP="00516EFA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AF5661" w:rsidRPr="009C5E28" w:rsidTr="00516EFA">
        <w:trPr>
          <w:trHeight w:val="437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AF5661" w:rsidRPr="00AD0630" w:rsidRDefault="00AF5661" w:rsidP="00AF5661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Silber(I)-</w:t>
            </w:r>
            <w:proofErr w:type="spellStart"/>
            <w:r>
              <w:rPr>
                <w:bCs/>
                <w:sz w:val="20"/>
                <w:szCs w:val="20"/>
              </w:rPr>
              <w:t>oxid</w:t>
            </w:r>
            <w:proofErr w:type="spellEnd"/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AF5661" w:rsidRPr="00AD0630" w:rsidRDefault="00AF5661" w:rsidP="00516E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272-314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AF5661" w:rsidRPr="00AD0630" w:rsidRDefault="00AF5661" w:rsidP="00516E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210-301+330+331-305+351+338-309+310</w:t>
            </w:r>
          </w:p>
        </w:tc>
      </w:tr>
      <w:tr w:rsidR="00AF5661" w:rsidRPr="009C5E28" w:rsidTr="00516EFA">
        <w:tc>
          <w:tcPr>
            <w:tcW w:w="1009" w:type="dxa"/>
            <w:shd w:val="clear" w:color="auto" w:fill="auto"/>
            <w:vAlign w:val="center"/>
          </w:tcPr>
          <w:p w:rsidR="00AF5661" w:rsidRPr="009C5E28" w:rsidRDefault="00AF5661" w:rsidP="00516EF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27" name="Grafik 26" descr="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F5661" w:rsidRPr="009C5E28" w:rsidRDefault="00AF5661" w:rsidP="00516E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26" name="Grafik 25" descr="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F5661" w:rsidRPr="009C5E28" w:rsidRDefault="00AF5661" w:rsidP="00516E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24" name="Grafik 23" descr="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nbar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F5661" w:rsidRPr="009C5E28" w:rsidRDefault="00AF5661" w:rsidP="00516E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F5661" w:rsidRPr="009C5E28" w:rsidRDefault="00AF5661" w:rsidP="00516E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5661" w:rsidRPr="009C5E28" w:rsidRDefault="00AF5661" w:rsidP="00516E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1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F5661" w:rsidRPr="009C5E28" w:rsidRDefault="00AF5661" w:rsidP="00516E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3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F5661" w:rsidRPr="009C5E28" w:rsidRDefault="00AF5661" w:rsidP="00516E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22" name="Grafik 1" descr="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661" w:rsidRPr="009C5E28" w:rsidRDefault="00AF5661" w:rsidP="00516E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3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5661" w:rsidRDefault="00AF5661" w:rsidP="00AF5661">
      <w:pPr>
        <w:tabs>
          <w:tab w:val="left" w:pos="1701"/>
          <w:tab w:val="left" w:pos="1985"/>
        </w:tabs>
        <w:ind w:left="1980" w:hanging="1980"/>
      </w:pPr>
    </w:p>
    <w:p w:rsidR="00AF5661" w:rsidRDefault="00AF5661" w:rsidP="001D1BAA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153499">
        <w:t>Reagenzglas, Reagenzglashalter, Laborbrenner, Spatel, Holzspan</w:t>
      </w:r>
    </w:p>
    <w:p w:rsidR="00AF5661" w:rsidRPr="00ED07C2" w:rsidRDefault="00AF5661" w:rsidP="00AF5661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 w:rsidR="00153499">
        <w:t>Spatelportion</w:t>
      </w:r>
      <w:proofErr w:type="spellEnd"/>
      <w:r w:rsidR="00153499">
        <w:t xml:space="preserve"> Silber(I)-</w:t>
      </w:r>
      <w:proofErr w:type="spellStart"/>
      <w:r w:rsidR="00153499">
        <w:t>oxid</w:t>
      </w:r>
      <w:proofErr w:type="spellEnd"/>
    </w:p>
    <w:p w:rsidR="00153499" w:rsidRDefault="00AF5661" w:rsidP="00AF5661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="00153499">
        <w:t xml:space="preserve">Eine </w:t>
      </w:r>
      <w:proofErr w:type="spellStart"/>
      <w:r w:rsidR="00153499">
        <w:t>Spatelportion</w:t>
      </w:r>
      <w:proofErr w:type="spellEnd"/>
      <w:r w:rsidR="00153499">
        <w:t xml:space="preserve"> Silber(I)-</w:t>
      </w:r>
      <w:proofErr w:type="spellStart"/>
      <w:r w:rsidR="00153499">
        <w:t>oxid</w:t>
      </w:r>
      <w:proofErr w:type="spellEnd"/>
      <w:r w:rsidR="00153499">
        <w:t xml:space="preserve"> wird im Reagenzglas direkt über der</w:t>
      </w:r>
      <w:r w:rsidR="00B73B52">
        <w:t xml:space="preserve"> ra</w:t>
      </w:r>
      <w:r w:rsidR="00B73B52">
        <w:t>u</w:t>
      </w:r>
      <w:r w:rsidR="00B73B52">
        <w:t xml:space="preserve">schenden </w:t>
      </w:r>
      <w:r w:rsidR="00153499">
        <w:t xml:space="preserve">Brennerflamme erhitzt. </w:t>
      </w:r>
      <w:r w:rsidR="00B73B52">
        <w:t>Die Glimmspanprobe wird dabei durc</w:t>
      </w:r>
      <w:r w:rsidR="00B73B52">
        <w:t>h</w:t>
      </w:r>
      <w:r w:rsidR="00B73B52">
        <w:t xml:space="preserve">geführt. </w:t>
      </w:r>
    </w:p>
    <w:p w:rsidR="00AF5661" w:rsidRDefault="00AF5661" w:rsidP="00AF5661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 w:rsidR="00B73B52">
        <w:t>Im Reagenzglas ist nach Ende der Reaktion ein grauer Feststoff zu sehen. Ein leichter metallischer Schimmer ist auszumachen. Der Glimmspan en</w:t>
      </w:r>
      <w:r w:rsidR="00B73B52">
        <w:t>t</w:t>
      </w:r>
      <w:r w:rsidR="00B73B52">
        <w:t xml:space="preserve">zündet sich bei Hineinhalten in das Reagenzglas. </w:t>
      </w:r>
    </w:p>
    <w:p w:rsidR="00AF5661" w:rsidRDefault="0049195B" w:rsidP="0049195B">
      <w:pPr>
        <w:keepNext/>
        <w:tabs>
          <w:tab w:val="left" w:pos="1701"/>
          <w:tab w:val="left" w:pos="1985"/>
        </w:tabs>
        <w:ind w:left="1980" w:hanging="1980"/>
        <w:jc w:val="left"/>
      </w:pPr>
      <w:r>
        <w:br w:type="textWrapping" w:clear="all"/>
      </w:r>
    </w:p>
    <w:p w:rsidR="00D20538" w:rsidRDefault="00D20538" w:rsidP="0049195B">
      <w:pPr>
        <w:pStyle w:val="Beschriftung"/>
        <w:ind w:left="1985"/>
        <w:jc w:val="left"/>
      </w:pPr>
    </w:p>
    <w:p w:rsidR="00D20538" w:rsidRDefault="00D20538" w:rsidP="0049195B">
      <w:pPr>
        <w:pStyle w:val="Beschriftung"/>
        <w:ind w:left="1985"/>
        <w:jc w:val="left"/>
      </w:pPr>
    </w:p>
    <w:p w:rsidR="00D20538" w:rsidRDefault="00D20538" w:rsidP="0049195B">
      <w:pPr>
        <w:pStyle w:val="Beschriftung"/>
        <w:ind w:left="1985"/>
        <w:jc w:val="left"/>
      </w:pPr>
    </w:p>
    <w:p w:rsidR="00D20538" w:rsidRDefault="00D20538" w:rsidP="0049195B">
      <w:pPr>
        <w:pStyle w:val="Beschriftung"/>
        <w:ind w:left="1985"/>
        <w:jc w:val="left"/>
      </w:pPr>
    </w:p>
    <w:p w:rsidR="00D20538" w:rsidRDefault="008D1859" w:rsidP="0049195B">
      <w:pPr>
        <w:pStyle w:val="Beschriftung"/>
        <w:ind w:left="1985"/>
        <w:jc w:val="left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1919605</wp:posOffset>
            </wp:positionH>
            <wp:positionV relativeFrom="paragraph">
              <wp:posOffset>62230</wp:posOffset>
            </wp:positionV>
            <wp:extent cx="1143000" cy="1552575"/>
            <wp:effectExtent l="19050" t="0" r="0" b="0"/>
            <wp:wrapTight wrapText="bothSides">
              <wp:wrapPolygon edited="0">
                <wp:start x="-360" y="0"/>
                <wp:lineTo x="-360" y="21467"/>
                <wp:lineTo x="21600" y="21467"/>
                <wp:lineTo x="21600" y="0"/>
                <wp:lineTo x="-360" y="0"/>
              </wp:wrapPolygon>
            </wp:wrapTight>
            <wp:docPr id="46" name="Grafik 45" descr="silberox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beroxid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538" w:rsidRDefault="00D20538" w:rsidP="00D20538"/>
    <w:p w:rsidR="008D1859" w:rsidRDefault="008D1859" w:rsidP="00D20538"/>
    <w:p w:rsidR="008D1859" w:rsidRDefault="008D1859" w:rsidP="00D20538"/>
    <w:p w:rsidR="008D1859" w:rsidRPr="00D20538" w:rsidRDefault="008D1859" w:rsidP="00D20538"/>
    <w:p w:rsidR="00AF5661" w:rsidRDefault="00AF5661" w:rsidP="0049195B">
      <w:pPr>
        <w:pStyle w:val="Beschriftung"/>
        <w:ind w:left="1985"/>
        <w:jc w:val="left"/>
      </w:pPr>
      <w:r>
        <w:t xml:space="preserve">Abb. </w:t>
      </w:r>
      <w:r w:rsidR="0049195B">
        <w:t>2</w:t>
      </w:r>
      <w:r>
        <w:t xml:space="preserve"> - </w:t>
      </w:r>
      <w:r>
        <w:rPr>
          <w:noProof/>
        </w:rPr>
        <w:t xml:space="preserve"> </w:t>
      </w:r>
      <w:r w:rsidR="0049195B">
        <w:rPr>
          <w:noProof/>
        </w:rPr>
        <w:t xml:space="preserve">Erhitzen von Silberoxid. (vgl. Protokoll Dörte Hartje, 2013). </w:t>
      </w:r>
    </w:p>
    <w:p w:rsidR="00FC7C18" w:rsidRDefault="001D1BAA" w:rsidP="001D1BAA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</w:r>
      <w:r w:rsidR="00B73B52">
        <w:t xml:space="preserve">Aus dem </w:t>
      </w:r>
      <w:r w:rsidR="00FC7C18">
        <w:t>Silber(I)-</w:t>
      </w:r>
      <w:proofErr w:type="spellStart"/>
      <w:r w:rsidR="00FC7C18">
        <w:t>o</w:t>
      </w:r>
      <w:r w:rsidR="00B73B52">
        <w:t>xid</w:t>
      </w:r>
      <w:proofErr w:type="spellEnd"/>
      <w:r w:rsidR="00B73B52">
        <w:t xml:space="preserve"> wird </w:t>
      </w:r>
      <w:r w:rsidR="00A47C03">
        <w:t>durch das Erhitzen in einer end</w:t>
      </w:r>
      <w:r w:rsidR="00FC7C18">
        <w:t>othermen R</w:t>
      </w:r>
      <w:r w:rsidR="00FC7C18">
        <w:t>e</w:t>
      </w:r>
      <w:r w:rsidR="00FC7C18">
        <w:t xml:space="preserve">aktion </w:t>
      </w:r>
      <w:r w:rsidR="00B73B52">
        <w:t>Sauerstoff abgespalten, sodass elementares Silber entsteht.</w:t>
      </w:r>
      <w:r>
        <w:t xml:space="preserve"> Der Sa</w:t>
      </w:r>
      <w:r>
        <w:t>u</w:t>
      </w:r>
      <w:r>
        <w:t xml:space="preserve">erstoff wird mit dem Glimmspan nachgewiesen. </w:t>
      </w:r>
    </w:p>
    <w:p w:rsidR="00FC7C18" w:rsidRPr="00EA0FBA" w:rsidRDefault="00FC7C18" w:rsidP="00D20538">
      <w:pPr>
        <w:tabs>
          <w:tab w:val="left" w:pos="1701"/>
          <w:tab w:val="left" w:pos="1985"/>
        </w:tabs>
        <w:ind w:left="3969" w:hanging="3969"/>
        <w:rPr>
          <w:rFonts w:eastAsiaTheme="minorEastAsia"/>
        </w:rPr>
      </w:pPr>
      <w:r>
        <w:tab/>
      </w:r>
      <w:r>
        <w:tab/>
      </w:r>
      <w:r w:rsidR="00D20538">
        <w:tab/>
      </w:r>
      <m:oMath>
        <m:r>
          <w:rPr>
            <w:rFonts w:ascii="Cambria Math" w:hAnsi="Cambria Math"/>
          </w:rPr>
          <m:t xml:space="preserve">Silberoxid </m:t>
        </m:r>
        <m:box>
          <m:boxPr>
            <m:opEmu m:val="on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∆</m:t>
                </m:r>
              </m:e>
            </m:groupChr>
          </m:e>
        </m:box>
        <m:r>
          <w:rPr>
            <w:rFonts w:ascii="Cambria Math" w:hAnsi="Cambria Math"/>
          </w:rPr>
          <m:t>Silber+Sauerstoff</m:t>
        </m:r>
      </m:oMath>
    </w:p>
    <w:p w:rsidR="00AF5661" w:rsidRPr="00EA0FBA" w:rsidRDefault="001D1BAA" w:rsidP="00AF5661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>Entsorgung:</w:t>
      </w:r>
      <w:r>
        <w:tab/>
        <w:t xml:space="preserve">    </w:t>
      </w:r>
      <w:r>
        <w:tab/>
      </w:r>
      <w:r w:rsidR="00AF5661">
        <w:t xml:space="preserve">Die Reste werden im </w:t>
      </w:r>
      <w:r>
        <w:t>entweder gesammelt oder in den Schwermetallsa</w:t>
      </w:r>
      <w:r>
        <w:t>m</w:t>
      </w:r>
      <w:r>
        <w:t xml:space="preserve">melbehälter gegeben. </w:t>
      </w:r>
      <w:r w:rsidR="00AF5661">
        <w:t xml:space="preserve">  </w:t>
      </w:r>
    </w:p>
    <w:p w:rsidR="00AF5661" w:rsidRPr="007338FA" w:rsidRDefault="00A47C03" w:rsidP="007338FA">
      <w:pPr>
        <w:ind w:left="1985" w:hanging="1979"/>
        <w:jc w:val="left"/>
      </w:pPr>
      <w:r>
        <w:t>Literatur:</w:t>
      </w:r>
      <w:r>
        <w:tab/>
      </w:r>
      <w:r w:rsidRPr="007338FA">
        <w:t xml:space="preserve"> </w:t>
      </w:r>
      <w:r w:rsidR="001D1BAA" w:rsidRPr="007338FA">
        <w:t>Schmidkunz H. (2011): Chemische Freihandversuche. Bd. 1</w:t>
      </w:r>
      <w:r w:rsidR="00F13ED5" w:rsidRPr="007338FA">
        <w:t xml:space="preserve">. </w:t>
      </w:r>
      <w:proofErr w:type="spellStart"/>
      <w:r w:rsidR="001D1BAA" w:rsidRPr="007338FA">
        <w:t>Aulis</w:t>
      </w:r>
      <w:proofErr w:type="spellEnd"/>
      <w:r w:rsidR="001D1BAA" w:rsidRPr="007338FA">
        <w:t xml:space="preserve"> Verlag</w:t>
      </w:r>
      <w:r w:rsidR="00F13ED5" w:rsidRPr="007338FA">
        <w:t xml:space="preserve"> (Stark </w:t>
      </w:r>
      <w:r w:rsidRPr="007338FA">
        <w:t>Verlagsgesellschaft): München, S. 158.</w:t>
      </w:r>
    </w:p>
    <w:p w:rsidR="0049195B" w:rsidRPr="0049195B" w:rsidRDefault="0049195B" w:rsidP="0049195B">
      <w:pPr>
        <w:spacing w:line="276" w:lineRule="auto"/>
        <w:ind w:left="1985" w:hanging="1979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4424EA" w:rsidRDefault="006D0589" w:rsidP="004424EA">
      <w:pPr>
        <w:pStyle w:val="berschrift2"/>
      </w:pPr>
      <w:bookmarkStart w:id="7" w:name="_Toc427831392"/>
      <w:r>
        <w:t>V4</w:t>
      </w:r>
      <w:r w:rsidR="004424EA">
        <w:t xml:space="preserve"> – </w:t>
      </w:r>
      <w:r w:rsidR="003209DD">
        <w:t>Geröstetes Pyrit</w:t>
      </w:r>
      <w:bookmarkEnd w:id="7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4424EA" w:rsidRPr="009C5E28" w:rsidTr="00550619">
        <w:tc>
          <w:tcPr>
            <w:tcW w:w="9322" w:type="dxa"/>
            <w:gridSpan w:val="9"/>
            <w:shd w:val="clear" w:color="auto" w:fill="4F81BD"/>
            <w:vAlign w:val="center"/>
          </w:tcPr>
          <w:p w:rsidR="004424EA" w:rsidRPr="00F31EBF" w:rsidRDefault="004424EA" w:rsidP="00550619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4424EA" w:rsidRPr="009C5E28" w:rsidTr="00550619">
        <w:trPr>
          <w:trHeight w:val="437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4424EA" w:rsidRPr="00AD0630" w:rsidRDefault="003209DD" w:rsidP="00550619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Eisen(II)</w:t>
            </w:r>
            <w:proofErr w:type="spellStart"/>
            <w:r>
              <w:rPr>
                <w:bCs/>
                <w:sz w:val="20"/>
                <w:szCs w:val="20"/>
              </w:rPr>
              <w:t>sulfid</w:t>
            </w:r>
            <w:proofErr w:type="spellEnd"/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4424EA" w:rsidRPr="00AD0630" w:rsidRDefault="004424EA" w:rsidP="00AE0B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H: </w:t>
            </w:r>
            <w:r w:rsidR="00AE0B0C">
              <w:rPr>
                <w:sz w:val="20"/>
                <w:szCs w:val="20"/>
              </w:rPr>
              <w:t>400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4424EA" w:rsidRPr="00AD0630" w:rsidRDefault="004424EA" w:rsidP="00AE0B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P: </w:t>
            </w:r>
            <w:r w:rsidR="00AE0B0C">
              <w:rPr>
                <w:sz w:val="20"/>
                <w:szCs w:val="20"/>
              </w:rPr>
              <w:t>273</w:t>
            </w:r>
          </w:p>
        </w:tc>
      </w:tr>
      <w:tr w:rsidR="004424EA" w:rsidRPr="009C5E28" w:rsidTr="00550619">
        <w:tc>
          <w:tcPr>
            <w:tcW w:w="1009" w:type="dxa"/>
            <w:shd w:val="clear" w:color="auto" w:fill="auto"/>
            <w:vAlign w:val="center"/>
          </w:tcPr>
          <w:p w:rsidR="004424EA" w:rsidRPr="009C5E28" w:rsidRDefault="00AE0B0C" w:rsidP="005506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54" name="Grafik 53" descr="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424EA" w:rsidRPr="009C5E28" w:rsidRDefault="00AE0B0C" w:rsidP="005506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55" name="Grafik 54" descr="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424EA" w:rsidRPr="009C5E28" w:rsidRDefault="004424EA" w:rsidP="005506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32" name="Grafik 23" descr="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nbar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424EA" w:rsidRPr="009C5E28" w:rsidRDefault="004424EA" w:rsidP="005506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3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4424EA" w:rsidRPr="009C5E28" w:rsidRDefault="004424EA" w:rsidP="005506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4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24EA" w:rsidRPr="009C5E28" w:rsidRDefault="004424EA" w:rsidP="005506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5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424EA" w:rsidRPr="009C5E28" w:rsidRDefault="004424EA" w:rsidP="005506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6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424EA" w:rsidRPr="009C5E28" w:rsidRDefault="004424EA" w:rsidP="005506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37" name="Grafik 1" descr="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4EA" w:rsidRPr="009C5E28" w:rsidRDefault="00AE0B0C" w:rsidP="005506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930" cy="582930"/>
                  <wp:effectExtent l="19050" t="0" r="7620" b="0"/>
                  <wp:docPr id="56" name="Grafik 55" descr="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0B0C" w:rsidRDefault="00AE0B0C" w:rsidP="004424EA">
      <w:pPr>
        <w:tabs>
          <w:tab w:val="left" w:pos="1701"/>
          <w:tab w:val="left" w:pos="1985"/>
        </w:tabs>
        <w:ind w:left="1980" w:hanging="1980"/>
      </w:pPr>
    </w:p>
    <w:p w:rsidR="00AE0B0C" w:rsidRDefault="004424EA" w:rsidP="004424EA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Reagenzglas, Reagenzglashalter, Laborbrenner, Spatel, </w:t>
      </w:r>
      <w:r w:rsidR="00AE0B0C">
        <w:t>Glaswolle, Pinzette, Hammer, Tuch</w:t>
      </w:r>
    </w:p>
    <w:p w:rsidR="004424EA" w:rsidRPr="00ED07C2" w:rsidRDefault="004424EA" w:rsidP="004424EA">
      <w:pPr>
        <w:tabs>
          <w:tab w:val="left" w:pos="1701"/>
          <w:tab w:val="left" w:pos="1985"/>
        </w:tabs>
        <w:ind w:left="1980" w:hanging="1980"/>
      </w:pPr>
      <w:r>
        <w:t>Chemikalie</w:t>
      </w:r>
      <w:r w:rsidR="00AE0B0C">
        <w:t>n:</w:t>
      </w:r>
      <w:r w:rsidR="00AE0B0C">
        <w:tab/>
      </w:r>
      <w:r w:rsidR="00AE0B0C">
        <w:tab/>
      </w:r>
      <w:proofErr w:type="spellStart"/>
      <w:r w:rsidR="00AE0B0C">
        <w:t>Spatelspitze</w:t>
      </w:r>
      <w:proofErr w:type="spellEnd"/>
      <w:r w:rsidR="00AE0B0C">
        <w:t xml:space="preserve"> Eisen(II)</w:t>
      </w:r>
      <w:proofErr w:type="spellStart"/>
      <w:r w:rsidR="00AE0B0C">
        <w:t>sulfid</w:t>
      </w:r>
      <w:proofErr w:type="spellEnd"/>
    </w:p>
    <w:p w:rsidR="004424EA" w:rsidRDefault="004424EA" w:rsidP="004424EA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 </w:t>
      </w:r>
      <w:r w:rsidR="00F614E5">
        <w:t xml:space="preserve">Die </w:t>
      </w:r>
      <w:proofErr w:type="spellStart"/>
      <w:r w:rsidR="00F614E5">
        <w:t>Pyritstücke</w:t>
      </w:r>
      <w:proofErr w:type="spellEnd"/>
      <w:r w:rsidR="00F614E5">
        <w:t xml:space="preserve"> können in einem Tuch mit dem Hammer zerkleinert we</w:t>
      </w:r>
      <w:r w:rsidR="00F614E5">
        <w:t>r</w:t>
      </w:r>
      <w:r w:rsidR="00F614E5">
        <w:t xml:space="preserve">den (abhängig von Korngröße, nicht unbedingt notwendig). Eine </w:t>
      </w:r>
      <w:proofErr w:type="spellStart"/>
      <w:r w:rsidR="00245729">
        <w:t>Sp</w:t>
      </w:r>
      <w:r w:rsidR="00F614E5">
        <w:t>atelspitze</w:t>
      </w:r>
      <w:proofErr w:type="spellEnd"/>
      <w:r w:rsidR="00F614E5">
        <w:t xml:space="preserve"> Eisensulfid wird in das Reagenzglas gegeben und die Öffnung locker mit wenig Glaswolle versiegelt. Das Reagenzglas wir</w:t>
      </w:r>
      <w:r w:rsidR="008D1859">
        <w:t>d</w:t>
      </w:r>
      <w:r w:rsidR="007270EF">
        <w:t xml:space="preserve"> </w:t>
      </w:r>
      <w:r w:rsidR="00F614E5">
        <w:t xml:space="preserve">mithilfe des </w:t>
      </w:r>
      <w:r w:rsidR="00F614E5">
        <w:lastRenderedPageBreak/>
        <w:t xml:space="preserve">Reagenzglashalters </w:t>
      </w:r>
      <w:r w:rsidR="007270EF">
        <w:t>in die rauschende Brennerflamme gehalten</w:t>
      </w:r>
      <w:r w:rsidR="00245729">
        <w:t xml:space="preserve"> und mehr</w:t>
      </w:r>
      <w:r w:rsidR="00245729">
        <w:t>e</w:t>
      </w:r>
      <w:r w:rsidR="00245729">
        <w:t xml:space="preserve">re Minuten lang bis zur Rotglut erhitzt. </w:t>
      </w:r>
    </w:p>
    <w:p w:rsidR="004424EA" w:rsidRDefault="004424EA" w:rsidP="004424EA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 w:rsidR="00245729">
        <w:t>Das Eisensulfid glüht rot. Es tritt eine Dampfentwicklung ein und am ob</w:t>
      </w:r>
      <w:r w:rsidR="00245729">
        <w:t>e</w:t>
      </w:r>
      <w:r w:rsidR="00245729">
        <w:t xml:space="preserve">ren Teil des Reagenzglases setzt sich ein gelber Feststoff ab. </w:t>
      </w:r>
    </w:p>
    <w:p w:rsidR="004424EA" w:rsidRDefault="0049195B" w:rsidP="0049195B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2066925" cy="2971800"/>
            <wp:effectExtent l="19050" t="0" r="9525" b="0"/>
            <wp:docPr id="47" name="Grafik 46" descr="IMG_7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32.JPG"/>
                    <pic:cNvPicPr/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4EA" w:rsidRDefault="004424EA" w:rsidP="0049195B">
      <w:pPr>
        <w:pStyle w:val="Beschriftung"/>
        <w:ind w:firstLine="1985"/>
        <w:jc w:val="left"/>
      </w:pPr>
      <w:r>
        <w:t xml:space="preserve">Abb. </w:t>
      </w:r>
      <w:r w:rsidR="0049195B">
        <w:t>3</w:t>
      </w:r>
      <w:r>
        <w:t xml:space="preserve"> - </w:t>
      </w:r>
      <w:r>
        <w:rPr>
          <w:noProof/>
        </w:rPr>
        <w:t xml:space="preserve"> </w:t>
      </w:r>
      <w:r w:rsidR="0049195B">
        <w:rPr>
          <w:noProof/>
        </w:rPr>
        <w:t>Erhitzen von Eisensulfid</w:t>
      </w:r>
      <w:r>
        <w:rPr>
          <w:noProof/>
        </w:rPr>
        <w:t>.</w:t>
      </w:r>
    </w:p>
    <w:p w:rsidR="004424EA" w:rsidRDefault="004424EA" w:rsidP="00D421E4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</w:r>
      <w:r w:rsidR="00A70492">
        <w:t xml:space="preserve">Bei der Pyrolyse von Eisensulfid wird elementarer Schwefel freigesetzt. Die Schwefeldämpfe </w:t>
      </w:r>
      <w:r w:rsidR="008D1859">
        <w:t>kondensieren</w:t>
      </w:r>
      <w:r w:rsidR="00A70492">
        <w:t xml:space="preserve"> an den kalten Reagenzglaswänden. Unten im Reagenzglas bildet sich Eisen(II)</w:t>
      </w:r>
      <w:proofErr w:type="spellStart"/>
      <w:r w:rsidR="00A70492">
        <w:t>oxid</w:t>
      </w:r>
      <w:proofErr w:type="spellEnd"/>
      <w:r w:rsidR="00A70492">
        <w:t>.</w:t>
      </w:r>
    </w:p>
    <w:p w:rsidR="004424EA" w:rsidRPr="00EA0FBA" w:rsidRDefault="00A70492" w:rsidP="004424EA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Eisensulfid +Sauerstoff </m:t>
          </m:r>
          <m:box>
            <m:boxPr>
              <m:opEmu m:val="on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</m:groupChr>
            </m:e>
          </m:box>
          <m:r>
            <w:rPr>
              <w:rFonts w:ascii="Cambria Math" w:hAnsi="Cambria Math"/>
            </w:rPr>
            <m:t>Eisenoxid+Schwefel</m:t>
          </m:r>
        </m:oMath>
      </m:oMathPara>
    </w:p>
    <w:p w:rsidR="004424EA" w:rsidRPr="00EA0FBA" w:rsidRDefault="004424EA" w:rsidP="004424EA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>Entsorgung:</w:t>
      </w:r>
      <w:r>
        <w:tab/>
        <w:t xml:space="preserve">    </w:t>
      </w:r>
      <w:r>
        <w:tab/>
      </w:r>
      <w:r w:rsidR="00757E20">
        <w:t>Die Glaswolle wird in den Abfall gegeben oder wiederverwendet. Das E</w:t>
      </w:r>
      <w:r w:rsidR="00757E20">
        <w:t>i</w:t>
      </w:r>
      <w:r w:rsidR="00757E20">
        <w:t>senoxid könnte in einem Folgeversuch oxidiert werden oder im Feststof</w:t>
      </w:r>
      <w:r w:rsidR="00757E20">
        <w:t>f</w:t>
      </w:r>
      <w:r w:rsidR="00757E20">
        <w:t xml:space="preserve">behälter entsorgt werden. </w:t>
      </w:r>
      <w:r>
        <w:t xml:space="preserve">   </w:t>
      </w:r>
    </w:p>
    <w:p w:rsidR="004424EA" w:rsidRPr="001D1BAA" w:rsidRDefault="006D0589" w:rsidP="006D0589">
      <w:pPr>
        <w:ind w:left="1985" w:hanging="1985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</w:r>
      <w:r w:rsidR="004424EA">
        <w:t xml:space="preserve">Schmidkunz H. (2011): </w:t>
      </w:r>
      <w:r w:rsidR="004424EA">
        <w:rPr>
          <w:i/>
        </w:rPr>
        <w:t>Chemische Freihandversuche</w:t>
      </w:r>
      <w:r w:rsidR="004424EA">
        <w:t xml:space="preserve">. Bd. 1. </w:t>
      </w:r>
      <w:proofErr w:type="spellStart"/>
      <w:r w:rsidR="004424EA">
        <w:t>Aulis</w:t>
      </w:r>
      <w:proofErr w:type="spellEnd"/>
      <w:r w:rsidR="004424EA">
        <w:t xml:space="preserve"> Verlag (Stark Verlagsgesellsc</w:t>
      </w:r>
      <w:r w:rsidR="0049195B">
        <w:t xml:space="preserve">haft): München, S. </w:t>
      </w:r>
      <w:r w:rsidR="00D421E4">
        <w:t>139.</w:t>
      </w:r>
      <w:r w:rsidR="004424EA">
        <w:t xml:space="preserve"> </w:t>
      </w:r>
    </w:p>
    <w:p w:rsidR="00F74A95" w:rsidRPr="00984EF9" w:rsidRDefault="00F74A95" w:rsidP="00984EF9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sectPr w:rsidR="00F74A95" w:rsidRPr="00984EF9" w:rsidSect="005B0270">
      <w:headerReference w:type="default" r:id="rId36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DD5" w:rsidRDefault="000E2DD5" w:rsidP="0086227B">
      <w:pPr>
        <w:spacing w:after="0" w:line="240" w:lineRule="auto"/>
      </w:pPr>
      <w:r>
        <w:separator/>
      </w:r>
    </w:p>
  </w:endnote>
  <w:endnote w:type="continuationSeparator" w:id="0">
    <w:p w:rsidR="000E2DD5" w:rsidRDefault="000E2DD5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86" w:rsidRDefault="00221086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86" w:rsidRDefault="00221086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86" w:rsidRDefault="0022108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DD5" w:rsidRDefault="000E2DD5" w:rsidP="0086227B">
      <w:pPr>
        <w:spacing w:after="0" w:line="240" w:lineRule="auto"/>
      </w:pPr>
      <w:r>
        <w:separator/>
      </w:r>
    </w:p>
  </w:footnote>
  <w:footnote w:type="continuationSeparator" w:id="0">
    <w:p w:rsidR="000E2DD5" w:rsidRDefault="000E2DD5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86" w:rsidRDefault="00221086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86" w:rsidRPr="005B0270" w:rsidRDefault="00221086" w:rsidP="005B0270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86" w:rsidRDefault="00221086">
    <w:pPr>
      <w:pStyle w:val="Kopfzeil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Content>
      <w:p w:rsidR="00221086" w:rsidRPr="0080101C" w:rsidRDefault="00B9590B" w:rsidP="0049087A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="0000241C" w:rsidRPr="0000241C">
            <w:rPr>
              <w:b/>
              <w:bCs/>
              <w:noProof/>
              <w:sz w:val="20"/>
            </w:rPr>
            <w:t>1</w:t>
          </w:r>
        </w:fldSimple>
        <w:r w:rsidR="00221086"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00241C">
            <w:rPr>
              <w:noProof/>
            </w:rPr>
            <w:t>Weitere Lehrerversuche</w:t>
          </w:r>
        </w:fldSimple>
        <w:r w:rsidR="00221086" w:rsidRPr="0080101C">
          <w:rPr>
            <w:rFonts w:asciiTheme="majorHAnsi" w:hAnsiTheme="majorHAnsi"/>
            <w:sz w:val="20"/>
            <w:szCs w:val="20"/>
          </w:rPr>
          <w:tab/>
        </w:r>
        <w:r w:rsidR="00221086" w:rsidRPr="0080101C">
          <w:rPr>
            <w:rFonts w:asciiTheme="majorHAnsi" w:hAnsiTheme="majorHAnsi"/>
            <w:sz w:val="20"/>
            <w:szCs w:val="20"/>
          </w:rPr>
          <w:tab/>
        </w:r>
        <w:r w:rsidR="00221086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221086" w:rsidRPr="0080101C" w:rsidRDefault="00B9590B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3.35pt;margin-top:3.05pt;width:462pt;height:.05pt;flip:x;z-index:25166643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241C"/>
    <w:rsid w:val="00007E3F"/>
    <w:rsid w:val="00011800"/>
    <w:rsid w:val="000137A3"/>
    <w:rsid w:val="00014E7D"/>
    <w:rsid w:val="00022871"/>
    <w:rsid w:val="00041562"/>
    <w:rsid w:val="00055784"/>
    <w:rsid w:val="00056798"/>
    <w:rsid w:val="0006287D"/>
    <w:rsid w:val="0006684E"/>
    <w:rsid w:val="00066DE1"/>
    <w:rsid w:val="00067AEC"/>
    <w:rsid w:val="00072812"/>
    <w:rsid w:val="00074A34"/>
    <w:rsid w:val="0007729E"/>
    <w:rsid w:val="00085EC9"/>
    <w:rsid w:val="000972FF"/>
    <w:rsid w:val="000B0523"/>
    <w:rsid w:val="000C4EB4"/>
    <w:rsid w:val="000D10FB"/>
    <w:rsid w:val="000D2C37"/>
    <w:rsid w:val="000D7381"/>
    <w:rsid w:val="000E0EBE"/>
    <w:rsid w:val="000E21A7"/>
    <w:rsid w:val="000E2DD5"/>
    <w:rsid w:val="000E7DB1"/>
    <w:rsid w:val="000F5EEC"/>
    <w:rsid w:val="001022B4"/>
    <w:rsid w:val="0012481E"/>
    <w:rsid w:val="00125CEA"/>
    <w:rsid w:val="0013621E"/>
    <w:rsid w:val="00153499"/>
    <w:rsid w:val="00153EA8"/>
    <w:rsid w:val="00157F3D"/>
    <w:rsid w:val="00161049"/>
    <w:rsid w:val="00174CA9"/>
    <w:rsid w:val="001A7524"/>
    <w:rsid w:val="001B46E0"/>
    <w:rsid w:val="001C5EFC"/>
    <w:rsid w:val="001D1BAA"/>
    <w:rsid w:val="00206876"/>
    <w:rsid w:val="00206D6B"/>
    <w:rsid w:val="00216E3C"/>
    <w:rsid w:val="00221086"/>
    <w:rsid w:val="0023241F"/>
    <w:rsid w:val="002347FE"/>
    <w:rsid w:val="00234B2A"/>
    <w:rsid w:val="002375EF"/>
    <w:rsid w:val="00245729"/>
    <w:rsid w:val="00254F3F"/>
    <w:rsid w:val="00270289"/>
    <w:rsid w:val="002707CC"/>
    <w:rsid w:val="0028080E"/>
    <w:rsid w:val="0028646F"/>
    <w:rsid w:val="002944CF"/>
    <w:rsid w:val="002A716F"/>
    <w:rsid w:val="002A7855"/>
    <w:rsid w:val="002B0B14"/>
    <w:rsid w:val="002E0F34"/>
    <w:rsid w:val="002E2DD3"/>
    <w:rsid w:val="002E38A0"/>
    <w:rsid w:val="002E5FCC"/>
    <w:rsid w:val="002F25D2"/>
    <w:rsid w:val="002F38EE"/>
    <w:rsid w:val="003208AC"/>
    <w:rsid w:val="003209DD"/>
    <w:rsid w:val="0033677B"/>
    <w:rsid w:val="00336B3B"/>
    <w:rsid w:val="00337B69"/>
    <w:rsid w:val="0034146A"/>
    <w:rsid w:val="00344BB7"/>
    <w:rsid w:val="00345293"/>
    <w:rsid w:val="00345F54"/>
    <w:rsid w:val="0038284A"/>
    <w:rsid w:val="003837C2"/>
    <w:rsid w:val="00384682"/>
    <w:rsid w:val="003B49C6"/>
    <w:rsid w:val="003C5747"/>
    <w:rsid w:val="003D529E"/>
    <w:rsid w:val="003D5D89"/>
    <w:rsid w:val="003E69AB"/>
    <w:rsid w:val="00401750"/>
    <w:rsid w:val="004019D1"/>
    <w:rsid w:val="004102B8"/>
    <w:rsid w:val="0041565C"/>
    <w:rsid w:val="00434D4E"/>
    <w:rsid w:val="00434F30"/>
    <w:rsid w:val="004424EA"/>
    <w:rsid w:val="00442EB1"/>
    <w:rsid w:val="00481DB8"/>
    <w:rsid w:val="00486C9F"/>
    <w:rsid w:val="0049087A"/>
    <w:rsid w:val="0049195B"/>
    <w:rsid w:val="004944F3"/>
    <w:rsid w:val="004A24AB"/>
    <w:rsid w:val="004B200E"/>
    <w:rsid w:val="004B3E0E"/>
    <w:rsid w:val="004C64A6"/>
    <w:rsid w:val="004D2994"/>
    <w:rsid w:val="004D321A"/>
    <w:rsid w:val="004F1A17"/>
    <w:rsid w:val="00503C6A"/>
    <w:rsid w:val="005115B1"/>
    <w:rsid w:val="00511B2E"/>
    <w:rsid w:val="005131C3"/>
    <w:rsid w:val="00513570"/>
    <w:rsid w:val="00516EFA"/>
    <w:rsid w:val="005228A9"/>
    <w:rsid w:val="00522DAF"/>
    <w:rsid w:val="005240FE"/>
    <w:rsid w:val="00526F69"/>
    <w:rsid w:val="00530A18"/>
    <w:rsid w:val="00532384"/>
    <w:rsid w:val="00532CD5"/>
    <w:rsid w:val="00544922"/>
    <w:rsid w:val="00550619"/>
    <w:rsid w:val="005650D4"/>
    <w:rsid w:val="005669B2"/>
    <w:rsid w:val="00573704"/>
    <w:rsid w:val="00574063"/>
    <w:rsid w:val="005745F8"/>
    <w:rsid w:val="0057596C"/>
    <w:rsid w:val="00576C62"/>
    <w:rsid w:val="00591B02"/>
    <w:rsid w:val="00595177"/>
    <w:rsid w:val="005978FA"/>
    <w:rsid w:val="005A2E89"/>
    <w:rsid w:val="005B0270"/>
    <w:rsid w:val="005B1F71"/>
    <w:rsid w:val="005B23FC"/>
    <w:rsid w:val="005B60E3"/>
    <w:rsid w:val="005E1939"/>
    <w:rsid w:val="005E3970"/>
    <w:rsid w:val="005F2176"/>
    <w:rsid w:val="00626874"/>
    <w:rsid w:val="00631F0F"/>
    <w:rsid w:val="00637239"/>
    <w:rsid w:val="006503E4"/>
    <w:rsid w:val="00654117"/>
    <w:rsid w:val="00672281"/>
    <w:rsid w:val="00681739"/>
    <w:rsid w:val="00690534"/>
    <w:rsid w:val="006943C9"/>
    <w:rsid w:val="006968E6"/>
    <w:rsid w:val="006A0F35"/>
    <w:rsid w:val="006B3EC2"/>
    <w:rsid w:val="006C5B0D"/>
    <w:rsid w:val="006C7B24"/>
    <w:rsid w:val="006D0589"/>
    <w:rsid w:val="006E32AF"/>
    <w:rsid w:val="006E451C"/>
    <w:rsid w:val="006F4715"/>
    <w:rsid w:val="00707392"/>
    <w:rsid w:val="0072123D"/>
    <w:rsid w:val="007270EF"/>
    <w:rsid w:val="007338FA"/>
    <w:rsid w:val="00746773"/>
    <w:rsid w:val="007477E5"/>
    <w:rsid w:val="00757E20"/>
    <w:rsid w:val="00775EEC"/>
    <w:rsid w:val="0078071E"/>
    <w:rsid w:val="007848A2"/>
    <w:rsid w:val="00790D3B"/>
    <w:rsid w:val="007A7FA8"/>
    <w:rsid w:val="007E586C"/>
    <w:rsid w:val="007E7412"/>
    <w:rsid w:val="007F2348"/>
    <w:rsid w:val="00801678"/>
    <w:rsid w:val="008042F5"/>
    <w:rsid w:val="0080498F"/>
    <w:rsid w:val="00810A12"/>
    <w:rsid w:val="00815FB9"/>
    <w:rsid w:val="0082230A"/>
    <w:rsid w:val="00837114"/>
    <w:rsid w:val="0086227B"/>
    <w:rsid w:val="008664DF"/>
    <w:rsid w:val="00875E5B"/>
    <w:rsid w:val="0088451A"/>
    <w:rsid w:val="00886EE0"/>
    <w:rsid w:val="00896D5A"/>
    <w:rsid w:val="008A500D"/>
    <w:rsid w:val="008A5D98"/>
    <w:rsid w:val="008B5C95"/>
    <w:rsid w:val="008B7FD6"/>
    <w:rsid w:val="008C71EE"/>
    <w:rsid w:val="008D0ED6"/>
    <w:rsid w:val="008D1859"/>
    <w:rsid w:val="008D67B2"/>
    <w:rsid w:val="008E12F8"/>
    <w:rsid w:val="008E1A25"/>
    <w:rsid w:val="008E345D"/>
    <w:rsid w:val="00905459"/>
    <w:rsid w:val="00913D97"/>
    <w:rsid w:val="00914F2D"/>
    <w:rsid w:val="00931D4D"/>
    <w:rsid w:val="00936F75"/>
    <w:rsid w:val="0094350A"/>
    <w:rsid w:val="00946F4E"/>
    <w:rsid w:val="00954DC8"/>
    <w:rsid w:val="00961647"/>
    <w:rsid w:val="00971E91"/>
    <w:rsid w:val="009735A3"/>
    <w:rsid w:val="00973F3F"/>
    <w:rsid w:val="009775D7"/>
    <w:rsid w:val="00977ED8"/>
    <w:rsid w:val="0098168E"/>
    <w:rsid w:val="00984ACE"/>
    <w:rsid w:val="00984EF9"/>
    <w:rsid w:val="00993407"/>
    <w:rsid w:val="00994634"/>
    <w:rsid w:val="009B0D3F"/>
    <w:rsid w:val="009B429F"/>
    <w:rsid w:val="009C6F21"/>
    <w:rsid w:val="009C7687"/>
    <w:rsid w:val="009D0C07"/>
    <w:rsid w:val="009D150C"/>
    <w:rsid w:val="009D4BD9"/>
    <w:rsid w:val="009F0667"/>
    <w:rsid w:val="009F0CE9"/>
    <w:rsid w:val="009F5A39"/>
    <w:rsid w:val="009F61D4"/>
    <w:rsid w:val="00A006C3"/>
    <w:rsid w:val="00A012CE"/>
    <w:rsid w:val="00A0582F"/>
    <w:rsid w:val="00A05C2F"/>
    <w:rsid w:val="00A11029"/>
    <w:rsid w:val="00A2136F"/>
    <w:rsid w:val="00A2301A"/>
    <w:rsid w:val="00A436EF"/>
    <w:rsid w:val="00A43AA5"/>
    <w:rsid w:val="00A47C03"/>
    <w:rsid w:val="00A61671"/>
    <w:rsid w:val="00A70492"/>
    <w:rsid w:val="00A7439F"/>
    <w:rsid w:val="00A75F0A"/>
    <w:rsid w:val="00A778C9"/>
    <w:rsid w:val="00A90BD6"/>
    <w:rsid w:val="00A9233D"/>
    <w:rsid w:val="00A96F52"/>
    <w:rsid w:val="00AA604B"/>
    <w:rsid w:val="00AA612B"/>
    <w:rsid w:val="00AD0630"/>
    <w:rsid w:val="00AD0C24"/>
    <w:rsid w:val="00AD7D1F"/>
    <w:rsid w:val="00AE0B0C"/>
    <w:rsid w:val="00AE1230"/>
    <w:rsid w:val="00AF5661"/>
    <w:rsid w:val="00B02829"/>
    <w:rsid w:val="00B07F47"/>
    <w:rsid w:val="00B21F20"/>
    <w:rsid w:val="00B433C0"/>
    <w:rsid w:val="00B51643"/>
    <w:rsid w:val="00B51B39"/>
    <w:rsid w:val="00B5716B"/>
    <w:rsid w:val="00B571E6"/>
    <w:rsid w:val="00B619BB"/>
    <w:rsid w:val="00B73B52"/>
    <w:rsid w:val="00B901F6"/>
    <w:rsid w:val="00B93BBF"/>
    <w:rsid w:val="00B9590B"/>
    <w:rsid w:val="00B96C3C"/>
    <w:rsid w:val="00BA0E9B"/>
    <w:rsid w:val="00BA2B9B"/>
    <w:rsid w:val="00BC4F56"/>
    <w:rsid w:val="00BD1D31"/>
    <w:rsid w:val="00BF2E3A"/>
    <w:rsid w:val="00BF7B08"/>
    <w:rsid w:val="00C039ED"/>
    <w:rsid w:val="00C0569E"/>
    <w:rsid w:val="00C10E22"/>
    <w:rsid w:val="00C12650"/>
    <w:rsid w:val="00C23319"/>
    <w:rsid w:val="00C258AD"/>
    <w:rsid w:val="00C338B3"/>
    <w:rsid w:val="00C364B2"/>
    <w:rsid w:val="00C428C7"/>
    <w:rsid w:val="00C460EB"/>
    <w:rsid w:val="00C51D56"/>
    <w:rsid w:val="00C66D91"/>
    <w:rsid w:val="00C700C0"/>
    <w:rsid w:val="00CA6231"/>
    <w:rsid w:val="00CB15D3"/>
    <w:rsid w:val="00CB2161"/>
    <w:rsid w:val="00CD0E93"/>
    <w:rsid w:val="00CE1F14"/>
    <w:rsid w:val="00CF0B61"/>
    <w:rsid w:val="00CF79FE"/>
    <w:rsid w:val="00D069A2"/>
    <w:rsid w:val="00D06D12"/>
    <w:rsid w:val="00D1194E"/>
    <w:rsid w:val="00D20538"/>
    <w:rsid w:val="00D36B1A"/>
    <w:rsid w:val="00D407E8"/>
    <w:rsid w:val="00D421E4"/>
    <w:rsid w:val="00D54590"/>
    <w:rsid w:val="00D60010"/>
    <w:rsid w:val="00D76EE6"/>
    <w:rsid w:val="00D76F6F"/>
    <w:rsid w:val="00D77A1E"/>
    <w:rsid w:val="00D90F31"/>
    <w:rsid w:val="00D92822"/>
    <w:rsid w:val="00DA6545"/>
    <w:rsid w:val="00DC0309"/>
    <w:rsid w:val="00DE18A7"/>
    <w:rsid w:val="00E131A5"/>
    <w:rsid w:val="00E17CDE"/>
    <w:rsid w:val="00E22516"/>
    <w:rsid w:val="00E22D23"/>
    <w:rsid w:val="00E24354"/>
    <w:rsid w:val="00E26180"/>
    <w:rsid w:val="00E51037"/>
    <w:rsid w:val="00E54798"/>
    <w:rsid w:val="00E84393"/>
    <w:rsid w:val="00E866D8"/>
    <w:rsid w:val="00E91F32"/>
    <w:rsid w:val="00E96AD6"/>
    <w:rsid w:val="00EA0FBA"/>
    <w:rsid w:val="00EB3DFE"/>
    <w:rsid w:val="00EB3EA7"/>
    <w:rsid w:val="00EB6DB7"/>
    <w:rsid w:val="00EC4287"/>
    <w:rsid w:val="00ED07C2"/>
    <w:rsid w:val="00ED1F5D"/>
    <w:rsid w:val="00EE1EFF"/>
    <w:rsid w:val="00EE79E0"/>
    <w:rsid w:val="00EF161C"/>
    <w:rsid w:val="00EF5479"/>
    <w:rsid w:val="00F13ED5"/>
    <w:rsid w:val="00F17765"/>
    <w:rsid w:val="00F17797"/>
    <w:rsid w:val="00F2604C"/>
    <w:rsid w:val="00F26486"/>
    <w:rsid w:val="00F31EBF"/>
    <w:rsid w:val="00F3487A"/>
    <w:rsid w:val="00F614E5"/>
    <w:rsid w:val="00F74A95"/>
    <w:rsid w:val="00F849B0"/>
    <w:rsid w:val="00F9113E"/>
    <w:rsid w:val="00FA486B"/>
    <w:rsid w:val="00FA58C5"/>
    <w:rsid w:val="00FB3D74"/>
    <w:rsid w:val="00FC02BE"/>
    <w:rsid w:val="00FC4850"/>
    <w:rsid w:val="00FC7C18"/>
    <w:rsid w:val="00FD209F"/>
    <w:rsid w:val="00FD644E"/>
    <w:rsid w:val="00FE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  <o:rules v:ext="edit">
        <o:r id="V:Rule3" type="connector" idref="#_x0000_s1153"/>
        <o:r id="V:Rule4" type="connector" idref="#_x0000_s11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image" Target="media/image21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image" Target="media/image12.jpeg"/><Relationship Id="rId33" Type="http://schemas.openxmlformats.org/officeDocument/2006/relationships/image" Target="media/image20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7.jpe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10.jpeg"/><Relationship Id="rId28" Type="http://schemas.openxmlformats.org/officeDocument/2006/relationships/image" Target="media/image15.png"/><Relationship Id="rId36" Type="http://schemas.openxmlformats.org/officeDocument/2006/relationships/header" Target="header4.xml"/><Relationship Id="rId10" Type="http://schemas.openxmlformats.org/officeDocument/2006/relationships/image" Target="media/image3.jpeg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image" Target="media/image9.jpeg"/><Relationship Id="rId27" Type="http://schemas.openxmlformats.org/officeDocument/2006/relationships/image" Target="media/image14.png"/><Relationship Id="rId30" Type="http://schemas.openxmlformats.org/officeDocument/2006/relationships/image" Target="media/image17.jpeg"/><Relationship Id="rId35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5562F3F2-397C-43B8-A520-F0BDB1C3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957</Words>
  <Characters>6036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Hannah</cp:lastModifiedBy>
  <cp:revision>2</cp:revision>
  <cp:lastPrinted>2015-08-24T08:23:00Z</cp:lastPrinted>
  <dcterms:created xsi:type="dcterms:W3CDTF">2015-08-26T12:36:00Z</dcterms:created>
  <dcterms:modified xsi:type="dcterms:W3CDTF">2015-08-26T12:36:00Z</dcterms:modified>
</cp:coreProperties>
</file>