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2F" w:rsidRPr="0054755C" w:rsidRDefault="0064602F" w:rsidP="0064602F">
      <w:pPr>
        <w:pStyle w:val="berschrift2"/>
        <w:numPr>
          <w:ilvl w:val="0"/>
          <w:numId w:val="0"/>
        </w:numPr>
        <w:ind w:left="576" w:hanging="576"/>
        <w:rPr>
          <w:color w:val="auto"/>
        </w:rPr>
      </w:pPr>
      <w:r w:rsidRPr="00C57ED7">
        <w:rPr>
          <w:noProof/>
          <w:lang w:eastAsia="de-DE"/>
        </w:rPr>
        <w:pict>
          <v:shapetype id="_x0000_t202" coordsize="21600,21600" o:spt="202" path="m,l,21600r21600,l21600,xe">
            <v:stroke joinstyle="miter"/>
            <v:path gradientshapeok="t" o:connecttype="rect"/>
          </v:shapetype>
          <v:shape id="_x0000_s1029" type="#_x0000_t202" style="position:absolute;left:0;text-align:left;margin-left:-.25pt;margin-top:51.4pt;width:462.45pt;height:66.5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" fillcolor="white [3201]" strokecolor="#4bacc6 [3208]" strokeweight="1pt">
            <v:stroke dashstyle="dash"/>
            <v:shadow color="#868686"/>
            <v:textbox>
              <w:txbxContent>
                <w:p w:rsidR="0064602F" w:rsidRPr="00F31EBF" w:rsidRDefault="0064602F" w:rsidP="0064602F">
                  <w:pPr>
                    <w:rPr>
                      <w:color w:val="auto"/>
                    </w:rPr>
                  </w:pPr>
                  <w:r>
                    <w:rPr>
                      <w:color w:val="auto"/>
                    </w:rPr>
                    <w:t>Dieser Versuch dient dem Nachweis von Chlorid-Ionen in Wasser. Die SuS sollten Reaktion</w:t>
                  </w:r>
                  <w:r>
                    <w:rPr>
                      <w:color w:val="auto"/>
                    </w:rPr>
                    <w:t>s</w:t>
                  </w:r>
                  <w:r>
                    <w:rPr>
                      <w:color w:val="auto"/>
                    </w:rPr>
                    <w:t>gleichungen aufstellen können und verantwortungsbewusst experimentieren, vor allem im Umgang mit der Salpetersäure.</w:t>
                  </w:r>
                </w:p>
              </w:txbxContent>
            </v:textbox>
            <w10:wrap type="square"/>
          </v:shape>
        </w:pict>
      </w:r>
      <w:bookmarkStart w:id="0" w:name="_Toc457979505"/>
      <w:r w:rsidRPr="00CC307A">
        <w:rPr>
          <w:color w:val="auto"/>
        </w:rPr>
        <w:t>V</w:t>
      </w:r>
      <w:r>
        <w:rPr>
          <w:color w:val="auto"/>
        </w:rPr>
        <w:t>2</w:t>
      </w:r>
      <w:r w:rsidRPr="00CC307A">
        <w:rPr>
          <w:color w:val="auto"/>
        </w:rPr>
        <w:t xml:space="preserve"> – </w:t>
      </w:r>
      <w:r>
        <w:rPr>
          <w:color w:val="auto"/>
        </w:rPr>
        <w:t>Chlorid-Nachweis in Wasser</w:t>
      </w:r>
      <w:bookmarkEnd w:id="0"/>
    </w:p>
    <w:p w:rsidR="0064602F" w:rsidRDefault="0064602F" w:rsidP="0064602F">
      <w:pPr>
        <w:pStyle w:val="berschrift2"/>
        <w:numPr>
          <w:ilvl w:val="0"/>
          <w:numId w:val="0"/>
        </w:numPr>
      </w:pP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64602F" w:rsidRPr="009C5E28" w:rsidTr="00E515FF">
        <w:tc>
          <w:tcPr>
            <w:tcW w:w="9322" w:type="dxa"/>
            <w:gridSpan w:val="9"/>
            <w:shd w:val="clear" w:color="auto" w:fill="4F81BD"/>
            <w:vAlign w:val="center"/>
          </w:tcPr>
          <w:p w:rsidR="0064602F" w:rsidRPr="00F31EBF" w:rsidRDefault="0064602F" w:rsidP="00E515FF">
            <w:pPr>
              <w:spacing w:after="0"/>
              <w:jc w:val="center"/>
              <w:rPr>
                <w:b/>
                <w:bCs/>
                <w:color w:val="FFFFFF" w:themeColor="background1"/>
              </w:rPr>
            </w:pPr>
            <w:r w:rsidRPr="00F31EBF">
              <w:rPr>
                <w:b/>
                <w:bCs/>
                <w:color w:val="FFFFFF" w:themeColor="background1"/>
              </w:rPr>
              <w:t>Gefahrenstoffe</w:t>
            </w:r>
          </w:p>
        </w:tc>
      </w:tr>
      <w:tr w:rsidR="0064602F" w:rsidRPr="009C5E28" w:rsidTr="00E515FF">
        <w:trPr>
          <w:trHeight w:val="434"/>
        </w:trPr>
        <w:tc>
          <w:tcPr>
            <w:tcW w:w="3027" w:type="dxa"/>
            <w:gridSpan w:val="3"/>
            <w:tcBorders>
              <w:top w:val="single" w:sz="8" w:space="0" w:color="4F81BD"/>
              <w:bottom w:val="single" w:sz="8" w:space="0" w:color="4F81BD"/>
            </w:tcBorders>
            <w:shd w:val="clear" w:color="auto" w:fill="auto"/>
            <w:vAlign w:val="center"/>
          </w:tcPr>
          <w:p w:rsidR="0064602F" w:rsidRPr="005C79DD" w:rsidRDefault="0064602F" w:rsidP="00E515FF">
            <w:pPr>
              <w:spacing w:after="0" w:line="276" w:lineRule="auto"/>
              <w:jc w:val="center"/>
              <w:rPr>
                <w:color w:val="auto"/>
              </w:rPr>
            </w:pPr>
            <w:proofErr w:type="spellStart"/>
            <w:r w:rsidRPr="005C79DD">
              <w:rPr>
                <w:color w:val="auto"/>
              </w:rPr>
              <w:t>Silbernitratlösung</w:t>
            </w:r>
            <w:proofErr w:type="spellEnd"/>
            <w:r w:rsidRPr="005C79DD">
              <w:rPr>
                <w:color w:val="auto"/>
              </w:rPr>
              <w:t xml:space="preserve"> (0,1 M)</w:t>
            </w:r>
          </w:p>
        </w:tc>
        <w:tc>
          <w:tcPr>
            <w:tcW w:w="3177" w:type="dxa"/>
            <w:gridSpan w:val="3"/>
            <w:tcBorders>
              <w:top w:val="single" w:sz="8" w:space="0" w:color="4F81BD"/>
              <w:bottom w:val="single" w:sz="8" w:space="0" w:color="4F81BD"/>
            </w:tcBorders>
            <w:shd w:val="clear" w:color="auto" w:fill="auto"/>
            <w:vAlign w:val="center"/>
          </w:tcPr>
          <w:p w:rsidR="0064602F" w:rsidRPr="00BA512F" w:rsidRDefault="0064602F" w:rsidP="00E515FF">
            <w:pPr>
              <w:pStyle w:val="Beschriftung"/>
              <w:spacing w:after="0"/>
              <w:jc w:val="center"/>
              <w:rPr>
                <w:sz w:val="22"/>
                <w:szCs w:val="22"/>
              </w:rPr>
            </w:pPr>
            <w:r>
              <w:rPr>
                <w:sz w:val="22"/>
                <w:szCs w:val="22"/>
              </w:rPr>
              <w:t>H: 315, 319, 410</w:t>
            </w:r>
          </w:p>
        </w:tc>
        <w:tc>
          <w:tcPr>
            <w:tcW w:w="3118" w:type="dxa"/>
            <w:gridSpan w:val="3"/>
            <w:tcBorders>
              <w:top w:val="single" w:sz="8" w:space="0" w:color="4F81BD"/>
              <w:bottom w:val="single" w:sz="8" w:space="0" w:color="4F81BD"/>
            </w:tcBorders>
            <w:shd w:val="clear" w:color="auto" w:fill="auto"/>
            <w:vAlign w:val="center"/>
          </w:tcPr>
          <w:p w:rsidR="0064602F" w:rsidRPr="00BA512F" w:rsidRDefault="0064602F" w:rsidP="00E515FF">
            <w:pPr>
              <w:pStyle w:val="Beschriftung"/>
              <w:spacing w:after="0"/>
              <w:jc w:val="center"/>
              <w:rPr>
                <w:sz w:val="22"/>
                <w:szCs w:val="22"/>
              </w:rPr>
            </w:pPr>
            <w:r w:rsidRPr="00BA512F">
              <w:rPr>
                <w:sz w:val="22"/>
                <w:szCs w:val="22"/>
              </w:rPr>
              <w:t xml:space="preserve">P: </w:t>
            </w:r>
            <w:r>
              <w:rPr>
                <w:sz w:val="22"/>
                <w:szCs w:val="22"/>
              </w:rPr>
              <w:t>273, 302+352, 305+351+338</w:t>
            </w:r>
          </w:p>
        </w:tc>
      </w:tr>
      <w:tr w:rsidR="0064602F" w:rsidRPr="00567695" w:rsidTr="00E515FF">
        <w:trPr>
          <w:trHeight w:val="434"/>
        </w:trPr>
        <w:tc>
          <w:tcPr>
            <w:tcW w:w="3027" w:type="dxa"/>
            <w:gridSpan w:val="3"/>
            <w:tcBorders>
              <w:top w:val="single" w:sz="8" w:space="0" w:color="4F81BD"/>
            </w:tcBorders>
            <w:shd w:val="clear" w:color="auto" w:fill="auto"/>
            <w:vAlign w:val="center"/>
          </w:tcPr>
          <w:p w:rsidR="0064602F" w:rsidRPr="00567695" w:rsidRDefault="0064602F" w:rsidP="00E515FF">
            <w:pPr>
              <w:spacing w:after="0" w:line="276" w:lineRule="auto"/>
              <w:jc w:val="center"/>
              <w:rPr>
                <w:bCs/>
              </w:rPr>
            </w:pPr>
            <w:r w:rsidRPr="00567695">
              <w:rPr>
                <w:color w:val="auto"/>
              </w:rPr>
              <w:t>Salpetersäure (2 M)</w:t>
            </w:r>
          </w:p>
        </w:tc>
        <w:tc>
          <w:tcPr>
            <w:tcW w:w="3177" w:type="dxa"/>
            <w:gridSpan w:val="3"/>
            <w:tcBorders>
              <w:top w:val="single" w:sz="8" w:space="0" w:color="4F81BD"/>
            </w:tcBorders>
            <w:shd w:val="clear" w:color="auto" w:fill="auto"/>
            <w:vAlign w:val="center"/>
          </w:tcPr>
          <w:p w:rsidR="0064602F" w:rsidRPr="00567695" w:rsidRDefault="0064602F" w:rsidP="00E515FF">
            <w:pPr>
              <w:pStyle w:val="Beschriftung"/>
              <w:spacing w:after="0"/>
              <w:jc w:val="center"/>
              <w:rPr>
                <w:sz w:val="22"/>
                <w:szCs w:val="22"/>
              </w:rPr>
            </w:pPr>
            <w:r w:rsidRPr="00567695">
              <w:rPr>
                <w:sz w:val="22"/>
                <w:szCs w:val="22"/>
              </w:rPr>
              <w:t>H: 314, 290</w:t>
            </w:r>
          </w:p>
        </w:tc>
        <w:tc>
          <w:tcPr>
            <w:tcW w:w="3118" w:type="dxa"/>
            <w:gridSpan w:val="3"/>
            <w:tcBorders>
              <w:top w:val="single" w:sz="8" w:space="0" w:color="4F81BD"/>
            </w:tcBorders>
            <w:shd w:val="clear" w:color="auto" w:fill="auto"/>
            <w:vAlign w:val="center"/>
          </w:tcPr>
          <w:p w:rsidR="0064602F" w:rsidRPr="00567695" w:rsidRDefault="0064602F" w:rsidP="00E515FF">
            <w:pPr>
              <w:pStyle w:val="Beschriftung"/>
              <w:spacing w:after="0"/>
              <w:jc w:val="center"/>
              <w:rPr>
                <w:sz w:val="22"/>
                <w:szCs w:val="22"/>
              </w:rPr>
            </w:pPr>
            <w:r w:rsidRPr="00567695">
              <w:rPr>
                <w:sz w:val="22"/>
                <w:szCs w:val="22"/>
              </w:rPr>
              <w:t>P: 260, 280, 303+361+353, 305+351+338</w:t>
            </w:r>
          </w:p>
        </w:tc>
      </w:tr>
      <w:tr w:rsidR="0064602F" w:rsidRPr="009C5E28" w:rsidTr="00E515FF">
        <w:trPr>
          <w:trHeight w:val="434"/>
        </w:trPr>
        <w:tc>
          <w:tcPr>
            <w:tcW w:w="3027" w:type="dxa"/>
            <w:gridSpan w:val="3"/>
            <w:tcBorders>
              <w:top w:val="single" w:sz="8" w:space="0" w:color="4F81BD"/>
            </w:tcBorders>
            <w:shd w:val="clear" w:color="auto" w:fill="auto"/>
            <w:vAlign w:val="center"/>
          </w:tcPr>
          <w:p w:rsidR="0064602F" w:rsidRPr="005C79DD" w:rsidRDefault="0064602F" w:rsidP="00E515FF">
            <w:pPr>
              <w:spacing w:after="0" w:line="276" w:lineRule="auto"/>
              <w:jc w:val="center"/>
              <w:rPr>
                <w:color w:val="auto"/>
              </w:rPr>
            </w:pPr>
            <w:r w:rsidRPr="005C79DD">
              <w:rPr>
                <w:color w:val="auto"/>
              </w:rPr>
              <w:t>Wasser</w:t>
            </w:r>
          </w:p>
        </w:tc>
        <w:tc>
          <w:tcPr>
            <w:tcW w:w="3177" w:type="dxa"/>
            <w:gridSpan w:val="3"/>
            <w:tcBorders>
              <w:top w:val="single" w:sz="8" w:space="0" w:color="4F81BD"/>
            </w:tcBorders>
            <w:shd w:val="clear" w:color="auto" w:fill="auto"/>
            <w:vAlign w:val="center"/>
          </w:tcPr>
          <w:p w:rsidR="0064602F" w:rsidRDefault="0064602F" w:rsidP="00E515FF">
            <w:pPr>
              <w:pStyle w:val="Beschriftung"/>
              <w:spacing w:after="0"/>
              <w:jc w:val="center"/>
              <w:rPr>
                <w:sz w:val="20"/>
              </w:rPr>
            </w:pPr>
            <w:r>
              <w:rPr>
                <w:sz w:val="22"/>
                <w:szCs w:val="22"/>
              </w:rPr>
              <w:t>-</w:t>
            </w:r>
          </w:p>
        </w:tc>
        <w:tc>
          <w:tcPr>
            <w:tcW w:w="3118" w:type="dxa"/>
            <w:gridSpan w:val="3"/>
            <w:tcBorders>
              <w:top w:val="single" w:sz="8" w:space="0" w:color="4F81BD"/>
            </w:tcBorders>
            <w:shd w:val="clear" w:color="auto" w:fill="auto"/>
            <w:vAlign w:val="center"/>
          </w:tcPr>
          <w:p w:rsidR="0064602F" w:rsidRDefault="0064602F" w:rsidP="00E515FF">
            <w:pPr>
              <w:pStyle w:val="Beschriftung"/>
              <w:spacing w:after="0"/>
              <w:jc w:val="center"/>
              <w:rPr>
                <w:sz w:val="20"/>
              </w:rPr>
            </w:pPr>
            <w:r>
              <w:rPr>
                <w:sz w:val="22"/>
                <w:szCs w:val="22"/>
              </w:rPr>
              <w:t>-</w:t>
            </w:r>
          </w:p>
        </w:tc>
      </w:tr>
      <w:tr w:rsidR="0064602F" w:rsidRPr="009C5E28" w:rsidTr="00E515FF">
        <w:trPr>
          <w:trHeight w:val="434"/>
        </w:trPr>
        <w:tc>
          <w:tcPr>
            <w:tcW w:w="3027" w:type="dxa"/>
            <w:gridSpan w:val="3"/>
            <w:tcBorders>
              <w:top w:val="single" w:sz="8" w:space="0" w:color="4F81BD"/>
            </w:tcBorders>
            <w:shd w:val="clear" w:color="auto" w:fill="auto"/>
            <w:vAlign w:val="center"/>
          </w:tcPr>
          <w:p w:rsidR="0064602F" w:rsidRPr="005C79DD" w:rsidRDefault="0064602F" w:rsidP="00E515FF">
            <w:pPr>
              <w:spacing w:after="0" w:line="276" w:lineRule="auto"/>
              <w:jc w:val="center"/>
              <w:rPr>
                <w:color w:val="auto"/>
              </w:rPr>
            </w:pPr>
            <w:r>
              <w:rPr>
                <w:color w:val="auto"/>
              </w:rPr>
              <w:t>Silberchlorid</w:t>
            </w:r>
          </w:p>
        </w:tc>
        <w:tc>
          <w:tcPr>
            <w:tcW w:w="3177" w:type="dxa"/>
            <w:gridSpan w:val="3"/>
            <w:tcBorders>
              <w:top w:val="single" w:sz="8" w:space="0" w:color="4F81BD"/>
            </w:tcBorders>
            <w:shd w:val="clear" w:color="auto" w:fill="auto"/>
            <w:vAlign w:val="center"/>
          </w:tcPr>
          <w:p w:rsidR="0064602F" w:rsidRDefault="0064602F" w:rsidP="00E515FF">
            <w:pPr>
              <w:pStyle w:val="Beschriftung"/>
              <w:spacing w:after="0"/>
              <w:jc w:val="center"/>
              <w:rPr>
                <w:sz w:val="22"/>
                <w:szCs w:val="22"/>
              </w:rPr>
            </w:pPr>
            <w:r>
              <w:rPr>
                <w:sz w:val="22"/>
                <w:szCs w:val="22"/>
              </w:rPr>
              <w:t>H: 290, 410</w:t>
            </w:r>
          </w:p>
        </w:tc>
        <w:tc>
          <w:tcPr>
            <w:tcW w:w="3118" w:type="dxa"/>
            <w:gridSpan w:val="3"/>
            <w:tcBorders>
              <w:top w:val="single" w:sz="8" w:space="0" w:color="4F81BD"/>
            </w:tcBorders>
            <w:shd w:val="clear" w:color="auto" w:fill="auto"/>
            <w:vAlign w:val="center"/>
          </w:tcPr>
          <w:p w:rsidR="0064602F" w:rsidRDefault="0064602F" w:rsidP="00E515FF">
            <w:pPr>
              <w:pStyle w:val="Beschriftung"/>
              <w:spacing w:after="0"/>
              <w:jc w:val="center"/>
              <w:rPr>
                <w:sz w:val="22"/>
                <w:szCs w:val="22"/>
              </w:rPr>
            </w:pPr>
            <w:r>
              <w:rPr>
                <w:sz w:val="22"/>
                <w:szCs w:val="22"/>
              </w:rPr>
              <w:t>P: 273, 390, 501</w:t>
            </w:r>
          </w:p>
        </w:tc>
      </w:tr>
      <w:tr w:rsidR="0064602F" w:rsidRPr="009C5E28" w:rsidTr="00E515FF">
        <w:tc>
          <w:tcPr>
            <w:tcW w:w="1009" w:type="dxa"/>
            <w:tcBorders>
              <w:top w:val="single" w:sz="8" w:space="0" w:color="4F81BD"/>
              <w:left w:val="single" w:sz="8" w:space="0" w:color="4F81BD"/>
              <w:bottom w:val="single" w:sz="8" w:space="0" w:color="4F81BD"/>
            </w:tcBorders>
            <w:shd w:val="clear" w:color="auto" w:fill="auto"/>
            <w:vAlign w:val="center"/>
          </w:tcPr>
          <w:p w:rsidR="0064602F" w:rsidRPr="009C5E28" w:rsidRDefault="0064602F" w:rsidP="00E515FF">
            <w:pPr>
              <w:spacing w:after="0"/>
              <w:jc w:val="center"/>
              <w:rPr>
                <w:b/>
                <w:bCs/>
              </w:rPr>
            </w:pPr>
            <w:r>
              <w:rPr>
                <w:b/>
                <w:noProof/>
                <w:lang w:eastAsia="de-DE"/>
              </w:rPr>
              <w:drawing>
                <wp:inline distT="0" distB="0" distL="0" distR="0">
                  <wp:extent cx="504190" cy="504190"/>
                  <wp:effectExtent l="0" t="0" r="0" b="0"/>
                  <wp:docPr id="13"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04190" cy="504190"/>
                  <wp:effectExtent l="0" t="0" r="0" b="0"/>
                  <wp:docPr id="22"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04190" cy="504190"/>
                  <wp:effectExtent l="0" t="0" r="0" b="0"/>
                  <wp:docPr id="33"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04190" cy="504190"/>
                  <wp:effectExtent l="0" t="0" r="0" b="0"/>
                  <wp:docPr id="34"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04190" cy="504190"/>
                  <wp:effectExtent l="0" t="0" r="0" b="0"/>
                  <wp:docPr id="45"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04190" cy="504190"/>
                  <wp:effectExtent l="0" t="0" r="0" b="0"/>
                  <wp:docPr id="46"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04190" cy="504190"/>
                  <wp:effectExtent l="0" t="0" r="0" b="0"/>
                  <wp:docPr id="65"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11175" cy="511175"/>
                  <wp:effectExtent l="0" t="0" r="0" b="0"/>
                  <wp:docPr id="66"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64602F" w:rsidRPr="009C5E28" w:rsidRDefault="0064602F" w:rsidP="00E515FF">
            <w:pPr>
              <w:spacing w:after="0"/>
              <w:jc w:val="center"/>
            </w:pPr>
            <w:r>
              <w:rPr>
                <w:noProof/>
                <w:lang w:eastAsia="de-DE"/>
              </w:rPr>
              <w:drawing>
                <wp:inline distT="0" distB="0" distL="0" distR="0">
                  <wp:extent cx="586596" cy="559439"/>
                  <wp:effectExtent l="0" t="0" r="4445" b="0"/>
                  <wp:docPr id="76"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srcRect l="41051" t="37286" r="41101" b="41437"/>
                          <a:stretch/>
                        </pic:blipFill>
                        <pic:spPr bwMode="auto">
                          <a:xfrm>
                            <a:off x="0" y="0"/>
                            <a:ext cx="586596" cy="55943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r>
    </w:tbl>
    <w:p w:rsidR="0064602F" w:rsidRDefault="0064602F" w:rsidP="0064602F">
      <w:pPr>
        <w:tabs>
          <w:tab w:val="left" w:pos="1701"/>
          <w:tab w:val="left" w:pos="1985"/>
        </w:tabs>
        <w:ind w:left="1980" w:hanging="1980"/>
      </w:pPr>
    </w:p>
    <w:p w:rsidR="0064602F" w:rsidRPr="005C79DD" w:rsidRDefault="0064602F" w:rsidP="0064602F">
      <w:pPr>
        <w:tabs>
          <w:tab w:val="left" w:pos="1701"/>
          <w:tab w:val="left" w:pos="1985"/>
        </w:tabs>
        <w:ind w:left="1980" w:hanging="1980"/>
      </w:pPr>
      <w:r w:rsidRPr="005C79DD">
        <w:t xml:space="preserve">Materialien: </w:t>
      </w:r>
      <w:r w:rsidRPr="005C79DD">
        <w:tab/>
      </w:r>
      <w:r w:rsidRPr="005C79DD">
        <w:tab/>
        <w:t>Reagenzglasständer, Reagenzglas, Pipette</w:t>
      </w:r>
      <w:r>
        <w:t>n</w:t>
      </w:r>
    </w:p>
    <w:p w:rsidR="0064602F" w:rsidRPr="005C79DD" w:rsidRDefault="0064602F" w:rsidP="0064602F">
      <w:pPr>
        <w:tabs>
          <w:tab w:val="left" w:pos="1701"/>
          <w:tab w:val="left" w:pos="1985"/>
        </w:tabs>
        <w:ind w:left="1980" w:hanging="1980"/>
      </w:pPr>
      <w:r w:rsidRPr="005C79DD">
        <w:t>Chemikalien:</w:t>
      </w:r>
      <w:r w:rsidRPr="005C79DD">
        <w:tab/>
      </w:r>
      <w:r w:rsidRPr="005C79DD">
        <w:tab/>
        <w:t xml:space="preserve">Mineralwasser, </w:t>
      </w:r>
      <w:proofErr w:type="spellStart"/>
      <w:r w:rsidRPr="005C79DD">
        <w:rPr>
          <w:color w:val="auto"/>
        </w:rPr>
        <w:t>Silbernitratlösung</w:t>
      </w:r>
      <w:proofErr w:type="spellEnd"/>
      <w:r w:rsidRPr="005C79DD">
        <w:t xml:space="preserve">, </w:t>
      </w:r>
      <w:r w:rsidRPr="005C79DD">
        <w:rPr>
          <w:color w:val="auto"/>
        </w:rPr>
        <w:t>Salpetersäure</w:t>
      </w:r>
    </w:p>
    <w:p w:rsidR="0064602F" w:rsidRPr="005C79DD" w:rsidRDefault="0064602F" w:rsidP="0064602F">
      <w:pPr>
        <w:tabs>
          <w:tab w:val="left" w:pos="1701"/>
          <w:tab w:val="left" w:pos="1985"/>
        </w:tabs>
        <w:spacing w:after="0"/>
        <w:ind w:left="1979" w:hanging="1979"/>
      </w:pPr>
      <w:r w:rsidRPr="005C79DD">
        <w:t xml:space="preserve">Durchführung: </w:t>
      </w:r>
      <w:r w:rsidRPr="005C79DD">
        <w:tab/>
      </w:r>
      <w:r w:rsidRPr="005C79DD">
        <w:tab/>
      </w:r>
      <w:r>
        <w:t xml:space="preserve">Es wird </w:t>
      </w:r>
      <w:r w:rsidRPr="005C79DD">
        <w:t>etwa 1 cm hoch Mineralwasser in ein Reagenzglas</w:t>
      </w:r>
      <w:r>
        <w:t xml:space="preserve"> gefüllt</w:t>
      </w:r>
      <w:r w:rsidRPr="005C79DD">
        <w:t xml:space="preserve">. </w:t>
      </w:r>
      <w:r>
        <w:t>A</w:t>
      </w:r>
      <w:r>
        <w:t>n</w:t>
      </w:r>
      <w:r>
        <w:t>schließend werden mit einer</w:t>
      </w:r>
      <w:r w:rsidRPr="005C79DD">
        <w:t xml:space="preserve"> einige Milliliter 0,1 M </w:t>
      </w:r>
      <w:proofErr w:type="spellStart"/>
      <w:r w:rsidRPr="005C79DD">
        <w:rPr>
          <w:color w:val="auto"/>
        </w:rPr>
        <w:t>Silbernitratlösung</w:t>
      </w:r>
      <w:proofErr w:type="spellEnd"/>
      <w:r w:rsidRPr="005C79DD">
        <w:rPr>
          <w:color w:val="auto"/>
        </w:rPr>
        <w:t xml:space="preserve"> hinzu</w:t>
      </w:r>
      <w:r>
        <w:rPr>
          <w:color w:val="auto"/>
        </w:rPr>
        <w:t xml:space="preserve"> getropft</w:t>
      </w:r>
      <w:r w:rsidRPr="005C79DD">
        <w:rPr>
          <w:color w:val="auto"/>
        </w:rPr>
        <w:t xml:space="preserve">. </w:t>
      </w:r>
      <w:r>
        <w:rPr>
          <w:color w:val="auto"/>
        </w:rPr>
        <w:t>Danach wird ein</w:t>
      </w:r>
      <w:r w:rsidRPr="005C79DD">
        <w:rPr>
          <w:color w:val="auto"/>
        </w:rPr>
        <w:t xml:space="preserve"> Milliliter verdünnte Salpetersäure mit einer a</w:t>
      </w:r>
      <w:r w:rsidRPr="005C79DD">
        <w:rPr>
          <w:color w:val="auto"/>
        </w:rPr>
        <w:t>n</w:t>
      </w:r>
      <w:r w:rsidRPr="005C79DD">
        <w:rPr>
          <w:color w:val="auto"/>
        </w:rPr>
        <w:t>deren Pipette hinzu</w:t>
      </w:r>
      <w:r>
        <w:rPr>
          <w:color w:val="auto"/>
        </w:rPr>
        <w:t xml:space="preserve"> gegeben.</w:t>
      </w:r>
    </w:p>
    <w:p w:rsidR="0064602F" w:rsidRPr="005C79DD" w:rsidRDefault="0064602F" w:rsidP="0064602F">
      <w:pPr>
        <w:tabs>
          <w:tab w:val="left" w:pos="1701"/>
          <w:tab w:val="left" w:pos="1985"/>
        </w:tabs>
        <w:spacing w:after="0"/>
        <w:ind w:left="1979" w:hanging="1979"/>
      </w:pPr>
    </w:p>
    <w:p w:rsidR="0064602F" w:rsidRPr="005C79DD" w:rsidRDefault="0064602F" w:rsidP="0064602F">
      <w:pPr>
        <w:tabs>
          <w:tab w:val="left" w:pos="1701"/>
          <w:tab w:val="left" w:pos="1985"/>
        </w:tabs>
        <w:ind w:left="1980" w:hanging="1980"/>
      </w:pPr>
      <w:r w:rsidRPr="005C79DD">
        <w:t>Beobachtung:</w:t>
      </w:r>
      <w:r w:rsidRPr="005C79DD">
        <w:tab/>
      </w:r>
      <w:r w:rsidRPr="005C79DD">
        <w:tab/>
      </w:r>
      <w:r w:rsidRPr="005C79DD">
        <w:tab/>
        <w:t xml:space="preserve">Durch Zugabe der </w:t>
      </w:r>
      <w:proofErr w:type="spellStart"/>
      <w:r w:rsidRPr="005C79DD">
        <w:t>Silbernitratlösung</w:t>
      </w:r>
      <w:proofErr w:type="spellEnd"/>
      <w:r w:rsidRPr="005C79DD">
        <w:t xml:space="preserve"> bildet sich ein weißer Feststoff. Durch Zugabe der </w:t>
      </w:r>
      <w:r w:rsidRPr="005C79DD">
        <w:rPr>
          <w:color w:val="auto"/>
        </w:rPr>
        <w:t>Salpetersäure löst sich der Feststoff nicht auf.</w:t>
      </w:r>
    </w:p>
    <w:p w:rsidR="0064602F" w:rsidRPr="005C79DD" w:rsidRDefault="0064602F" w:rsidP="0064602F">
      <w:pPr>
        <w:keepNext/>
        <w:tabs>
          <w:tab w:val="left" w:pos="1701"/>
          <w:tab w:val="left" w:pos="1985"/>
        </w:tabs>
        <w:ind w:left="1980" w:hanging="1980"/>
        <w:jc w:val="center"/>
      </w:pPr>
      <w:r>
        <w:rPr>
          <w:noProof/>
          <w:lang w:eastAsia="de-DE"/>
        </w:rPr>
        <w:drawing>
          <wp:inline distT="0" distB="0" distL="0" distR="0">
            <wp:extent cx="757925" cy="1562986"/>
            <wp:effectExtent l="19050" t="0" r="4075" b="0"/>
            <wp:docPr id="11"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l="43893" t="20984" r="42972" b="30820"/>
                    <a:stretch>
                      <a:fillRect/>
                    </a:stretch>
                  </pic:blipFill>
                  <pic:spPr bwMode="auto">
                    <a:xfrm>
                      <a:off x="0" y="0"/>
                      <a:ext cx="757925" cy="1562986"/>
                    </a:xfrm>
                    <a:prstGeom prst="rect">
                      <a:avLst/>
                    </a:prstGeom>
                    <a:noFill/>
                    <a:ln w="9525">
                      <a:noFill/>
                      <a:miter lim="800000"/>
                      <a:headEnd/>
                      <a:tailEnd/>
                    </a:ln>
                  </pic:spPr>
                </pic:pic>
              </a:graphicData>
            </a:graphic>
          </wp:inline>
        </w:drawing>
      </w:r>
    </w:p>
    <w:p w:rsidR="0064602F" w:rsidRPr="005C79DD" w:rsidRDefault="0064602F" w:rsidP="0064602F">
      <w:pPr>
        <w:pStyle w:val="Beschriftung"/>
        <w:jc w:val="center"/>
      </w:pPr>
      <w:r w:rsidRPr="005C79DD">
        <w:t xml:space="preserve">Abb. </w:t>
      </w:r>
      <w:r>
        <w:fldChar w:fldCharType="begin"/>
      </w:r>
      <w:r>
        <w:instrText xml:space="preserve"> SEQ Abb. \* ARABIC </w:instrText>
      </w:r>
      <w:r>
        <w:fldChar w:fldCharType="separate"/>
      </w:r>
      <w:r>
        <w:rPr>
          <w:noProof/>
        </w:rPr>
        <w:t>2</w:t>
      </w:r>
      <w:r>
        <w:rPr>
          <w:noProof/>
        </w:rPr>
        <w:fldChar w:fldCharType="end"/>
      </w:r>
      <w:r w:rsidRPr="005C79DD">
        <w:t xml:space="preserve"> - </w:t>
      </w:r>
      <w:r w:rsidRPr="005C79DD">
        <w:rPr>
          <w:noProof/>
        </w:rPr>
        <w:t xml:space="preserve"> Chlorid-Nachweis in Mineralwasser</w:t>
      </w:r>
    </w:p>
    <w:p w:rsidR="0064602F" w:rsidRPr="005C79DD" w:rsidRDefault="0064602F" w:rsidP="0064602F">
      <w:pPr>
        <w:tabs>
          <w:tab w:val="left" w:pos="1701"/>
          <w:tab w:val="left" w:pos="1985"/>
        </w:tabs>
        <w:ind w:left="1985" w:hanging="1985"/>
      </w:pPr>
      <w:r>
        <w:lastRenderedPageBreak/>
        <w:t>Deutung:</w:t>
      </w:r>
      <w:r>
        <w:tab/>
      </w:r>
      <w:r>
        <w:tab/>
      </w:r>
      <w:r w:rsidRPr="005C79DD">
        <w:t xml:space="preserve">Die Chlorid-Ionen reagieren mit Silbernitrat zu Silberchlorid, welches ein schwerlösliches Salz ist: </w:t>
      </w:r>
    </w:p>
    <w:p w:rsidR="0064602F" w:rsidRPr="002F3691" w:rsidRDefault="0064602F" w:rsidP="0064602F">
      <w:pPr>
        <w:tabs>
          <w:tab w:val="left" w:pos="1701"/>
          <w:tab w:val="left" w:pos="1985"/>
        </w:tabs>
        <w:ind w:left="2124" w:hanging="2124"/>
        <w:rPr>
          <w:rFonts w:eastAsiaTheme="minorEastAsia"/>
        </w:rPr>
      </w:pPr>
      <w:r w:rsidRPr="002F3691">
        <w:tab/>
      </w:r>
      <w:r w:rsidRPr="002F3691">
        <w:tab/>
      </w:r>
      <w:r w:rsidRPr="002F3691">
        <w:tab/>
      </w:r>
      <w:r w:rsidRPr="002F3691">
        <w:tab/>
      </w:r>
      <w:r w:rsidRPr="002F3691">
        <w:tab/>
      </w:r>
      <w:r w:rsidRPr="002F3691">
        <w:tab/>
      </w:r>
      <m:oMath>
        <m:sSubSup>
          <m:sSubSupPr>
            <m:ctrlPr>
              <w:rPr>
                <w:rFonts w:ascii="Cambria Math" w:hAnsi="Cambria Math"/>
              </w:rPr>
            </m:ctrlPr>
          </m:sSubSupPr>
          <m:e>
            <m:r>
              <m:rPr>
                <m:sty m:val="p"/>
              </m:rPr>
              <w:rPr>
                <w:rFonts w:ascii="Cambria Math" w:hAnsi="Cambria Math"/>
              </w:rPr>
              <m:t>Cl</m:t>
            </m:r>
          </m:e>
          <m:sub>
            <m:d>
              <m:dPr>
                <m:ctrlPr>
                  <w:rPr>
                    <w:rFonts w:ascii="Cambria Math" w:hAnsi="Cambria Math"/>
                  </w:rPr>
                </m:ctrlPr>
              </m:dPr>
              <m:e>
                <m:r>
                  <m:rPr>
                    <m:sty m:val="p"/>
                  </m:rPr>
                  <w:rPr>
                    <w:rFonts w:ascii="Cambria Math" w:hAnsi="Cambria Math"/>
                  </w:rPr>
                  <m:t>aq</m:t>
                </m:r>
              </m:e>
            </m:d>
          </m:sub>
          <m:sup>
            <m:r>
              <m:rPr>
                <m:sty m:val="p"/>
              </m:rPr>
              <w:rPr>
                <w:rFonts w:ascii="Cambria Math" w:hAnsi="Cambria Math"/>
              </w:rPr>
              <m:t>-</m:t>
            </m:r>
          </m:sup>
        </m:sSubSup>
        <m:r>
          <m:rPr>
            <m:sty m:val="p"/>
          </m:rPr>
          <w:rPr>
            <w:rFonts w:ascii="Cambria Math" w:hAnsi="Cambria Math"/>
          </w:rPr>
          <m:t>+ AgN</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 xml:space="preserve">3 </m:t>
            </m:r>
            <m:d>
              <m:dPr>
                <m:ctrlPr>
                  <w:rPr>
                    <w:rFonts w:ascii="Cambria Math" w:hAnsi="Cambria Math"/>
                  </w:rPr>
                </m:ctrlPr>
              </m:dPr>
              <m:e>
                <m:r>
                  <m:rPr>
                    <m:sty m:val="p"/>
                  </m:rPr>
                  <w:rPr>
                    <w:rFonts w:ascii="Cambria Math" w:hAnsi="Cambria Math"/>
                  </w:rPr>
                  <m:t>aq</m:t>
                </m:r>
              </m:e>
            </m:d>
          </m:sub>
        </m:sSub>
        <m:r>
          <m:rPr>
            <m:sty m:val="p"/>
          </m:rPr>
          <w:rPr>
            <w:rFonts w:ascii="Cambria Math" w:hAnsi="Cambria Math"/>
          </w:rPr>
          <m:t>→AgC</m:t>
        </m:r>
        <m:sSub>
          <m:sSubPr>
            <m:ctrlPr>
              <w:rPr>
                <w:rFonts w:ascii="Cambria Math" w:hAnsi="Cambria Math"/>
              </w:rPr>
            </m:ctrlPr>
          </m:sSubPr>
          <m:e>
            <m:r>
              <m:rPr>
                <m:sty m:val="p"/>
              </m:rPr>
              <w:rPr>
                <w:rFonts w:ascii="Cambria Math" w:hAnsi="Cambria Math"/>
              </w:rPr>
              <m:t>l</m:t>
            </m:r>
          </m:e>
          <m:sub>
            <m:d>
              <m:dPr>
                <m:ctrlPr>
                  <w:rPr>
                    <w:rFonts w:ascii="Cambria Math" w:hAnsi="Cambria Math"/>
                  </w:rPr>
                </m:ctrlPr>
              </m:dPr>
              <m:e>
                <m:r>
                  <m:rPr>
                    <m:sty m:val="p"/>
                  </m:rPr>
                  <w:rPr>
                    <w:rFonts w:ascii="Cambria Math" w:hAnsi="Cambria Math"/>
                  </w:rPr>
                  <m:t>s</m:t>
                </m:r>
              </m:e>
            </m:d>
          </m:sub>
        </m:sSub>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NO</m:t>
            </m:r>
          </m:e>
          <m:sub>
            <m:r>
              <m:rPr>
                <m:sty m:val="p"/>
              </m:rPr>
              <w:rPr>
                <w:rFonts w:ascii="Cambria Math" w:hAnsi="Cambria Math"/>
              </w:rPr>
              <m:t>3 (aq)</m:t>
            </m:r>
          </m:sub>
          <m:sup>
            <m:r>
              <m:rPr>
                <m:sty m:val="p"/>
              </m:rPr>
              <w:rPr>
                <w:rFonts w:ascii="Cambria Math" w:hAnsi="Cambria Math"/>
              </w:rPr>
              <m:t>-</m:t>
            </m:r>
          </m:sup>
        </m:sSubSup>
      </m:oMath>
    </w:p>
    <w:p w:rsidR="0064602F" w:rsidRPr="005C79DD" w:rsidRDefault="0064602F" w:rsidP="0064602F">
      <w:pPr>
        <w:tabs>
          <w:tab w:val="left" w:pos="1701"/>
          <w:tab w:val="left" w:pos="1985"/>
        </w:tabs>
        <w:ind w:left="1985" w:hanging="1985"/>
        <w:rPr>
          <w:rFonts w:eastAsiaTheme="minorEastAsia"/>
          <w:color w:val="auto"/>
        </w:rPr>
      </w:pPr>
      <w:r w:rsidRPr="00185CE2">
        <w:rPr>
          <w:vertAlign w:val="superscript"/>
          <w:lang w:val="en-US"/>
        </w:rPr>
        <w:tab/>
      </w:r>
      <w:r w:rsidRPr="00185CE2">
        <w:rPr>
          <w:vertAlign w:val="superscript"/>
          <w:lang w:val="en-US"/>
        </w:rPr>
        <w:tab/>
      </w:r>
      <w:r w:rsidRPr="005C79DD">
        <w:t>Durch Zugabe von Salpetersäure wird der Niederschlag nicht aufgelöst, wie es zum Beispiel bei Silbercarbonat oder Silberphosphat der Fall wäre.</w:t>
      </w:r>
      <w:r>
        <w:t xml:space="preserve"> Die Zugabe von Salpetersäure hat keinen Einfluss auf das obige Gleichgewicht. Allerdings würden Carbonat-Ionen und Phosphat-Ionen mit den Protonen der Salpetersäure reagieren, sodass das Gleichgewicht auf die Seite des Silbernitrats verschoben wird. Dadurch werden die hohen Löslichkeitspr</w:t>
      </w:r>
      <w:r>
        <w:t>o</w:t>
      </w:r>
      <w:r>
        <w:t>dukte von Silbercarbonat und Silberphosphat nicht mehr überschritten, sodass sich der Niederschlag auflöst.</w:t>
      </w:r>
    </w:p>
    <w:p w:rsidR="0064602F" w:rsidRPr="005C79DD" w:rsidRDefault="0064602F" w:rsidP="0064602F">
      <w:pPr>
        <w:spacing w:after="0"/>
        <w:ind w:left="1985" w:hanging="1985"/>
      </w:pPr>
      <w:r>
        <w:t>Entsorgung:</w:t>
      </w:r>
      <w:r>
        <w:tab/>
      </w:r>
      <w:r w:rsidRPr="005C79DD">
        <w:t>Das Wasser kann in den Ausguss gegeben werden. Die Entsorgung der L</w:t>
      </w:r>
      <w:r w:rsidRPr="005C79DD">
        <w:t>ö</w:t>
      </w:r>
      <w:r w:rsidRPr="005C79DD">
        <w:t xml:space="preserve">sung des Reagenzglases erfolgt über den anorganischen Abfall mit Schwermetallen unter Beachtung alkalischer pH-Werte. </w:t>
      </w:r>
    </w:p>
    <w:p w:rsidR="0064602F" w:rsidRPr="005C79DD" w:rsidRDefault="0064602F" w:rsidP="0064602F">
      <w:pPr>
        <w:spacing w:line="276" w:lineRule="auto"/>
        <w:jc w:val="left"/>
        <w:rPr>
          <w:rFonts w:asciiTheme="majorHAnsi" w:eastAsiaTheme="majorEastAsia" w:hAnsiTheme="majorHAnsi" w:cstheme="majorBidi"/>
          <w:b/>
          <w:bCs/>
        </w:rPr>
      </w:pPr>
      <w:r w:rsidRPr="005C79DD">
        <w:t>Literatur:</w:t>
      </w:r>
      <w:r w:rsidRPr="005C79DD">
        <w:tab/>
      </w:r>
      <w:r w:rsidRPr="005C79DD">
        <w:tab/>
      </w:r>
    </w:p>
    <w:p w:rsidR="0064602F" w:rsidRPr="005C79DD" w:rsidRDefault="0064602F" w:rsidP="0064602F">
      <w:pPr>
        <w:rPr>
          <w:rFonts w:asciiTheme="majorHAnsi" w:hAnsiTheme="majorHAnsi"/>
        </w:rPr>
      </w:pPr>
      <w:r w:rsidRPr="005C79DD">
        <w:rPr>
          <w:rFonts w:asciiTheme="majorHAnsi" w:hAnsiTheme="majorHAnsi"/>
        </w:rPr>
        <w:t xml:space="preserve"> [1] </w:t>
      </w:r>
      <w:proofErr w:type="spellStart"/>
      <w:r w:rsidRPr="005C79DD">
        <w:rPr>
          <w:rFonts w:asciiTheme="majorHAnsi" w:hAnsiTheme="majorHAnsi"/>
        </w:rPr>
        <w:t>Maisenbacher</w:t>
      </w:r>
      <w:proofErr w:type="spellEnd"/>
      <w:r w:rsidRPr="005C79DD">
        <w:rPr>
          <w:rFonts w:asciiTheme="majorHAnsi" w:hAnsiTheme="majorHAnsi"/>
        </w:rPr>
        <w:t>, P.</w:t>
      </w:r>
      <w:r>
        <w:rPr>
          <w:rFonts w:asciiTheme="majorHAnsi" w:hAnsiTheme="majorHAnsi"/>
        </w:rPr>
        <w:t>,</w:t>
      </w:r>
      <w:r w:rsidRPr="005C79DD">
        <w:rPr>
          <w:rFonts w:asciiTheme="majorHAnsi" w:hAnsiTheme="majorHAnsi"/>
        </w:rPr>
        <w:t xml:space="preserve"> http://www.schule-bw.de/unterricht/faecher/chemie/material/lehr/-wasserblaetter/07.pdf, S. 2, (Zuletzt abgerufen am 25.07.2016 um 13:17Uhr).</w:t>
      </w:r>
    </w:p>
    <w:p w:rsidR="0064602F" w:rsidRPr="009D7DB0" w:rsidRDefault="0064602F" w:rsidP="0064602F">
      <w:r>
        <w:rPr>
          <w:noProof/>
          <w:lang w:eastAsia="de-DE"/>
        </w:rPr>
      </w:r>
      <w:r>
        <w:rPr>
          <w:noProof/>
          <w:lang w:eastAsia="de-DE"/>
        </w:rPr>
        <w:pict>
          <v:shape id="Text Box 131" o:spid="_x0000_s1028" type="#_x0000_t202" style="width:462.45pt;height:125pt;visibility:visible;mso-position-horizontal-relative:char;mso-position-vertical-relative:line" fillcolor="white [3201]" strokecolor="#c0504d [3205]" strokeweight="1pt">
            <v:stroke dashstyle="dash"/>
            <v:shadow color="#868686"/>
            <v:textbox>
              <w:txbxContent>
                <w:p w:rsidR="0064602F" w:rsidRPr="004B1506" w:rsidRDefault="0064602F" w:rsidP="0064602F">
                  <w:pPr>
                    <w:rPr>
                      <w:color w:val="auto"/>
                    </w:rPr>
                  </w:pPr>
                  <w:r>
                    <w:rPr>
                      <w:color w:val="auto"/>
                    </w:rPr>
                    <w:t>Dieser Versuch kann als Einführung in verschieden Nachweisreaktionen dienen. Weiterhin kann er auch im Rahmen einer kohlensäurehaltigen Mineralwasseranalyse stattfinden, bei der die SuS Versuche nach Versuchsanleitung durchführen, um einzelne Etikettenangaben zu b</w:t>
                  </w:r>
                  <w:r>
                    <w:rPr>
                      <w:color w:val="auto"/>
                    </w:rPr>
                    <w:t>e</w:t>
                  </w:r>
                  <w:r>
                    <w:rPr>
                      <w:color w:val="auto"/>
                    </w:rPr>
                    <w:t xml:space="preserve">stätigen. Bei der Arbeit mit 2 M Salpetersäure ist unbedingt ein Kittel, eine Schutzbrille und Schutzhandschuhe zu tragen. Alternativ kann der Versuch auch mit Cola erfolgen und in dem Zusammenhang ein Zuckernachweis in Cola durchgeführt werden. </w:t>
                  </w:r>
                </w:p>
                <w:p w:rsidR="0064602F" w:rsidRPr="00F31EBF" w:rsidRDefault="0064602F" w:rsidP="0064602F">
                  <w:pPr>
                    <w:rPr>
                      <w:color w:val="auto"/>
                    </w:rPr>
                  </w:pPr>
                </w:p>
              </w:txbxContent>
            </v:textbox>
            <w10:wrap type="none"/>
            <w10:anchorlock/>
          </v:shape>
        </w:pict>
      </w:r>
    </w:p>
    <w:p w:rsidR="00E61846" w:rsidRPr="0064602F" w:rsidRDefault="00E61846" w:rsidP="0064602F"/>
    <w:sectPr w:rsidR="00E61846" w:rsidRPr="0064602F" w:rsidSect="00E61846">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revisionView w:inkAnnotations="0"/>
  <w:defaultTabStop w:val="708"/>
  <w:hyphenationZone w:val="425"/>
  <w:characterSpacingControl w:val="doNotCompress"/>
  <w:compat/>
  <w:rsids>
    <w:rsidRoot w:val="00176E6C"/>
    <w:rsid w:val="00002B4A"/>
    <w:rsid w:val="00002D5B"/>
    <w:rsid w:val="00002F72"/>
    <w:rsid w:val="00006498"/>
    <w:rsid w:val="0001252D"/>
    <w:rsid w:val="000175B4"/>
    <w:rsid w:val="00017AD9"/>
    <w:rsid w:val="000253C7"/>
    <w:rsid w:val="00036E76"/>
    <w:rsid w:val="00040A31"/>
    <w:rsid w:val="000423FC"/>
    <w:rsid w:val="00042BBC"/>
    <w:rsid w:val="00042EDD"/>
    <w:rsid w:val="00045C03"/>
    <w:rsid w:val="00053D18"/>
    <w:rsid w:val="000543BA"/>
    <w:rsid w:val="00056D9C"/>
    <w:rsid w:val="000575AB"/>
    <w:rsid w:val="00057873"/>
    <w:rsid w:val="000606C5"/>
    <w:rsid w:val="00062B9A"/>
    <w:rsid w:val="00065DC9"/>
    <w:rsid w:val="00083E84"/>
    <w:rsid w:val="00093D84"/>
    <w:rsid w:val="000A0C1A"/>
    <w:rsid w:val="000A419F"/>
    <w:rsid w:val="000B6868"/>
    <w:rsid w:val="000D045D"/>
    <w:rsid w:val="000D1A3C"/>
    <w:rsid w:val="000D2FE8"/>
    <w:rsid w:val="000D74E5"/>
    <w:rsid w:val="000E04CE"/>
    <w:rsid w:val="000E1A0B"/>
    <w:rsid w:val="000E57C4"/>
    <w:rsid w:val="000E57D0"/>
    <w:rsid w:val="000F0C0C"/>
    <w:rsid w:val="0010075A"/>
    <w:rsid w:val="00100974"/>
    <w:rsid w:val="00104C7C"/>
    <w:rsid w:val="001248CD"/>
    <w:rsid w:val="00131A40"/>
    <w:rsid w:val="00134435"/>
    <w:rsid w:val="00142C17"/>
    <w:rsid w:val="001454F7"/>
    <w:rsid w:val="001537FA"/>
    <w:rsid w:val="001640C0"/>
    <w:rsid w:val="001711CE"/>
    <w:rsid w:val="001725B5"/>
    <w:rsid w:val="00172D86"/>
    <w:rsid w:val="00176E6C"/>
    <w:rsid w:val="001818E5"/>
    <w:rsid w:val="001A17B4"/>
    <w:rsid w:val="001A5CBD"/>
    <w:rsid w:val="001B3161"/>
    <w:rsid w:val="001B31AC"/>
    <w:rsid w:val="001C3532"/>
    <w:rsid w:val="001C440A"/>
    <w:rsid w:val="001C4BD3"/>
    <w:rsid w:val="001D05F1"/>
    <w:rsid w:val="001D0815"/>
    <w:rsid w:val="00202B6F"/>
    <w:rsid w:val="002054B9"/>
    <w:rsid w:val="002128A1"/>
    <w:rsid w:val="00220011"/>
    <w:rsid w:val="00221BD7"/>
    <w:rsid w:val="0022346E"/>
    <w:rsid w:val="00233921"/>
    <w:rsid w:val="00247CE0"/>
    <w:rsid w:val="00252240"/>
    <w:rsid w:val="002549AD"/>
    <w:rsid w:val="002603FA"/>
    <w:rsid w:val="00263856"/>
    <w:rsid w:val="00271FE5"/>
    <w:rsid w:val="00276DB2"/>
    <w:rsid w:val="00276ECB"/>
    <w:rsid w:val="00281CE1"/>
    <w:rsid w:val="00294913"/>
    <w:rsid w:val="00295594"/>
    <w:rsid w:val="002A2F8C"/>
    <w:rsid w:val="002A46D3"/>
    <w:rsid w:val="002B0899"/>
    <w:rsid w:val="002C1B21"/>
    <w:rsid w:val="002C452E"/>
    <w:rsid w:val="002D0D9D"/>
    <w:rsid w:val="002D2DF9"/>
    <w:rsid w:val="002D7C67"/>
    <w:rsid w:val="002E4FC6"/>
    <w:rsid w:val="002E7151"/>
    <w:rsid w:val="002F444C"/>
    <w:rsid w:val="0030214C"/>
    <w:rsid w:val="0030588E"/>
    <w:rsid w:val="00307DB3"/>
    <w:rsid w:val="003119E3"/>
    <w:rsid w:val="003138A8"/>
    <w:rsid w:val="003138AB"/>
    <w:rsid w:val="0031640D"/>
    <w:rsid w:val="00316787"/>
    <w:rsid w:val="003174BA"/>
    <w:rsid w:val="003177AD"/>
    <w:rsid w:val="00323BCD"/>
    <w:rsid w:val="0033283A"/>
    <w:rsid w:val="00333EA9"/>
    <w:rsid w:val="00356A4F"/>
    <w:rsid w:val="00362CEE"/>
    <w:rsid w:val="00377B6C"/>
    <w:rsid w:val="003814D8"/>
    <w:rsid w:val="003923CA"/>
    <w:rsid w:val="003A1205"/>
    <w:rsid w:val="003B5C8D"/>
    <w:rsid w:val="003B6141"/>
    <w:rsid w:val="003C1BDC"/>
    <w:rsid w:val="003C35D2"/>
    <w:rsid w:val="003C4E19"/>
    <w:rsid w:val="003C7669"/>
    <w:rsid w:val="003D29D2"/>
    <w:rsid w:val="003E5EFD"/>
    <w:rsid w:val="003E6680"/>
    <w:rsid w:val="003E66E5"/>
    <w:rsid w:val="003E6987"/>
    <w:rsid w:val="003F156B"/>
    <w:rsid w:val="003F514D"/>
    <w:rsid w:val="003F6F63"/>
    <w:rsid w:val="00400FF4"/>
    <w:rsid w:val="00404E21"/>
    <w:rsid w:val="00405BB8"/>
    <w:rsid w:val="0042183D"/>
    <w:rsid w:val="00426D5B"/>
    <w:rsid w:val="00431537"/>
    <w:rsid w:val="00434BF6"/>
    <w:rsid w:val="004350D6"/>
    <w:rsid w:val="004571F9"/>
    <w:rsid w:val="00457865"/>
    <w:rsid w:val="0046431B"/>
    <w:rsid w:val="00470A8C"/>
    <w:rsid w:val="004729AE"/>
    <w:rsid w:val="00477A05"/>
    <w:rsid w:val="00482269"/>
    <w:rsid w:val="00484BFA"/>
    <w:rsid w:val="004860F5"/>
    <w:rsid w:val="0049398F"/>
    <w:rsid w:val="00495F43"/>
    <w:rsid w:val="004A31B9"/>
    <w:rsid w:val="004B39F9"/>
    <w:rsid w:val="004B7660"/>
    <w:rsid w:val="004B7C7C"/>
    <w:rsid w:val="004B7CBB"/>
    <w:rsid w:val="004C0AA6"/>
    <w:rsid w:val="004C207B"/>
    <w:rsid w:val="004F147B"/>
    <w:rsid w:val="004F2CD7"/>
    <w:rsid w:val="00521ED8"/>
    <w:rsid w:val="00524347"/>
    <w:rsid w:val="00531D46"/>
    <w:rsid w:val="00536C1E"/>
    <w:rsid w:val="00540455"/>
    <w:rsid w:val="00545685"/>
    <w:rsid w:val="00571490"/>
    <w:rsid w:val="00572E1F"/>
    <w:rsid w:val="005832EE"/>
    <w:rsid w:val="00596EB0"/>
    <w:rsid w:val="005A6D9D"/>
    <w:rsid w:val="005A7B22"/>
    <w:rsid w:val="005B09ED"/>
    <w:rsid w:val="005B3446"/>
    <w:rsid w:val="005B35B7"/>
    <w:rsid w:val="005C0A82"/>
    <w:rsid w:val="005C1927"/>
    <w:rsid w:val="005C41ED"/>
    <w:rsid w:val="005F0490"/>
    <w:rsid w:val="00600807"/>
    <w:rsid w:val="00604C77"/>
    <w:rsid w:val="00620997"/>
    <w:rsid w:val="0062181B"/>
    <w:rsid w:val="0063549B"/>
    <w:rsid w:val="00642135"/>
    <w:rsid w:val="0064602F"/>
    <w:rsid w:val="00650FBA"/>
    <w:rsid w:val="00660AC2"/>
    <w:rsid w:val="006632AB"/>
    <w:rsid w:val="00670400"/>
    <w:rsid w:val="00672B38"/>
    <w:rsid w:val="00680109"/>
    <w:rsid w:val="0068177D"/>
    <w:rsid w:val="00683BC5"/>
    <w:rsid w:val="00683E58"/>
    <w:rsid w:val="00690DFA"/>
    <w:rsid w:val="006A0462"/>
    <w:rsid w:val="006A0860"/>
    <w:rsid w:val="006A3734"/>
    <w:rsid w:val="006A7379"/>
    <w:rsid w:val="006B3289"/>
    <w:rsid w:val="006B572F"/>
    <w:rsid w:val="006C3D8E"/>
    <w:rsid w:val="006D0802"/>
    <w:rsid w:val="006D31BC"/>
    <w:rsid w:val="006F4017"/>
    <w:rsid w:val="006F5E34"/>
    <w:rsid w:val="007004FA"/>
    <w:rsid w:val="0070527D"/>
    <w:rsid w:val="00730042"/>
    <w:rsid w:val="00730DE2"/>
    <w:rsid w:val="00732EB1"/>
    <w:rsid w:val="00737CE9"/>
    <w:rsid w:val="007441B0"/>
    <w:rsid w:val="00750889"/>
    <w:rsid w:val="00751628"/>
    <w:rsid w:val="007612B8"/>
    <w:rsid w:val="007671A4"/>
    <w:rsid w:val="0077050A"/>
    <w:rsid w:val="007779CE"/>
    <w:rsid w:val="00784310"/>
    <w:rsid w:val="00792E50"/>
    <w:rsid w:val="0079439D"/>
    <w:rsid w:val="007A5C54"/>
    <w:rsid w:val="007B2CA1"/>
    <w:rsid w:val="007C27EF"/>
    <w:rsid w:val="007C6490"/>
    <w:rsid w:val="007C7206"/>
    <w:rsid w:val="007E013F"/>
    <w:rsid w:val="007E0410"/>
    <w:rsid w:val="007E2DFF"/>
    <w:rsid w:val="007E36D6"/>
    <w:rsid w:val="007F0C5D"/>
    <w:rsid w:val="007F6521"/>
    <w:rsid w:val="00805ADB"/>
    <w:rsid w:val="0081092C"/>
    <w:rsid w:val="00816D08"/>
    <w:rsid w:val="008176EB"/>
    <w:rsid w:val="00822A27"/>
    <w:rsid w:val="00831171"/>
    <w:rsid w:val="008325E6"/>
    <w:rsid w:val="0083296C"/>
    <w:rsid w:val="00833E99"/>
    <w:rsid w:val="0084454B"/>
    <w:rsid w:val="008451FF"/>
    <w:rsid w:val="00855F29"/>
    <w:rsid w:val="00856B4D"/>
    <w:rsid w:val="008573EE"/>
    <w:rsid w:val="00857C84"/>
    <w:rsid w:val="00870072"/>
    <w:rsid w:val="00892671"/>
    <w:rsid w:val="00894969"/>
    <w:rsid w:val="00897B67"/>
    <w:rsid w:val="008A18AF"/>
    <w:rsid w:val="008A1A19"/>
    <w:rsid w:val="008A260A"/>
    <w:rsid w:val="008A6DE3"/>
    <w:rsid w:val="008B32BC"/>
    <w:rsid w:val="008B7734"/>
    <w:rsid w:val="008C0C82"/>
    <w:rsid w:val="008D12BD"/>
    <w:rsid w:val="008D664A"/>
    <w:rsid w:val="008D7122"/>
    <w:rsid w:val="008F1407"/>
    <w:rsid w:val="00906CA3"/>
    <w:rsid w:val="00911048"/>
    <w:rsid w:val="00915BFC"/>
    <w:rsid w:val="00916601"/>
    <w:rsid w:val="00923996"/>
    <w:rsid w:val="009244B5"/>
    <w:rsid w:val="0093753F"/>
    <w:rsid w:val="00941ED7"/>
    <w:rsid w:val="00943453"/>
    <w:rsid w:val="00946BED"/>
    <w:rsid w:val="00952FF5"/>
    <w:rsid w:val="00954E46"/>
    <w:rsid w:val="00964892"/>
    <w:rsid w:val="00965A6E"/>
    <w:rsid w:val="00965C69"/>
    <w:rsid w:val="009679C8"/>
    <w:rsid w:val="009712F0"/>
    <w:rsid w:val="00972FF5"/>
    <w:rsid w:val="0097660C"/>
    <w:rsid w:val="00977F09"/>
    <w:rsid w:val="00981D88"/>
    <w:rsid w:val="00985433"/>
    <w:rsid w:val="00991F8C"/>
    <w:rsid w:val="0099230A"/>
    <w:rsid w:val="00994058"/>
    <w:rsid w:val="009970AD"/>
    <w:rsid w:val="009A7C5B"/>
    <w:rsid w:val="009C5855"/>
    <w:rsid w:val="009C58E7"/>
    <w:rsid w:val="009C5F0D"/>
    <w:rsid w:val="009D1AE1"/>
    <w:rsid w:val="009F35B4"/>
    <w:rsid w:val="009F3DC9"/>
    <w:rsid w:val="009F5E4E"/>
    <w:rsid w:val="009F6A06"/>
    <w:rsid w:val="009F768E"/>
    <w:rsid w:val="00A01ABC"/>
    <w:rsid w:val="00A05C00"/>
    <w:rsid w:val="00A12AE7"/>
    <w:rsid w:val="00A158B3"/>
    <w:rsid w:val="00A15BC2"/>
    <w:rsid w:val="00A16515"/>
    <w:rsid w:val="00A1771B"/>
    <w:rsid w:val="00A26AAE"/>
    <w:rsid w:val="00A448AB"/>
    <w:rsid w:val="00A53139"/>
    <w:rsid w:val="00A56BD0"/>
    <w:rsid w:val="00A63110"/>
    <w:rsid w:val="00A64765"/>
    <w:rsid w:val="00A66D58"/>
    <w:rsid w:val="00A716B6"/>
    <w:rsid w:val="00A7702F"/>
    <w:rsid w:val="00A80068"/>
    <w:rsid w:val="00A878FA"/>
    <w:rsid w:val="00AA08B9"/>
    <w:rsid w:val="00AB63A3"/>
    <w:rsid w:val="00AC755D"/>
    <w:rsid w:val="00AD6E1B"/>
    <w:rsid w:val="00AE5938"/>
    <w:rsid w:val="00AE6DB8"/>
    <w:rsid w:val="00AF0CA5"/>
    <w:rsid w:val="00AF5AD9"/>
    <w:rsid w:val="00AF60F6"/>
    <w:rsid w:val="00B027C5"/>
    <w:rsid w:val="00B041BC"/>
    <w:rsid w:val="00B16804"/>
    <w:rsid w:val="00B16BBA"/>
    <w:rsid w:val="00B17D8F"/>
    <w:rsid w:val="00B30B68"/>
    <w:rsid w:val="00B311D1"/>
    <w:rsid w:val="00B406BE"/>
    <w:rsid w:val="00B41E81"/>
    <w:rsid w:val="00B4340B"/>
    <w:rsid w:val="00B45F3E"/>
    <w:rsid w:val="00B46235"/>
    <w:rsid w:val="00B52800"/>
    <w:rsid w:val="00B52B66"/>
    <w:rsid w:val="00B60858"/>
    <w:rsid w:val="00B615DA"/>
    <w:rsid w:val="00B62F40"/>
    <w:rsid w:val="00B67B66"/>
    <w:rsid w:val="00B71423"/>
    <w:rsid w:val="00B72A35"/>
    <w:rsid w:val="00B75A22"/>
    <w:rsid w:val="00B816CC"/>
    <w:rsid w:val="00B831C2"/>
    <w:rsid w:val="00B90395"/>
    <w:rsid w:val="00BA7A0A"/>
    <w:rsid w:val="00BB0FC4"/>
    <w:rsid w:val="00BB6FC7"/>
    <w:rsid w:val="00BC00BC"/>
    <w:rsid w:val="00BC3B57"/>
    <w:rsid w:val="00BD2C66"/>
    <w:rsid w:val="00BF1A37"/>
    <w:rsid w:val="00BF4B84"/>
    <w:rsid w:val="00C137CE"/>
    <w:rsid w:val="00C14968"/>
    <w:rsid w:val="00C21B59"/>
    <w:rsid w:val="00C30CC9"/>
    <w:rsid w:val="00C34D39"/>
    <w:rsid w:val="00C46655"/>
    <w:rsid w:val="00C55D1C"/>
    <w:rsid w:val="00C6059A"/>
    <w:rsid w:val="00C65CC0"/>
    <w:rsid w:val="00C65F70"/>
    <w:rsid w:val="00C67995"/>
    <w:rsid w:val="00C67CAA"/>
    <w:rsid w:val="00C70032"/>
    <w:rsid w:val="00C7173D"/>
    <w:rsid w:val="00C71746"/>
    <w:rsid w:val="00C742E1"/>
    <w:rsid w:val="00C75888"/>
    <w:rsid w:val="00C8338E"/>
    <w:rsid w:val="00C858C1"/>
    <w:rsid w:val="00C9393C"/>
    <w:rsid w:val="00CA11F0"/>
    <w:rsid w:val="00CA5314"/>
    <w:rsid w:val="00CA5A28"/>
    <w:rsid w:val="00CA66F2"/>
    <w:rsid w:val="00CA7C09"/>
    <w:rsid w:val="00CB1BBB"/>
    <w:rsid w:val="00CC179E"/>
    <w:rsid w:val="00CC1C5A"/>
    <w:rsid w:val="00CC4EA5"/>
    <w:rsid w:val="00CC6F8F"/>
    <w:rsid w:val="00CD43D2"/>
    <w:rsid w:val="00CD77B1"/>
    <w:rsid w:val="00CE1ADC"/>
    <w:rsid w:val="00CE781C"/>
    <w:rsid w:val="00CF3C65"/>
    <w:rsid w:val="00CF6A20"/>
    <w:rsid w:val="00D10C19"/>
    <w:rsid w:val="00D200BE"/>
    <w:rsid w:val="00D41781"/>
    <w:rsid w:val="00D44A8D"/>
    <w:rsid w:val="00D5162A"/>
    <w:rsid w:val="00D54280"/>
    <w:rsid w:val="00D6080C"/>
    <w:rsid w:val="00D62ECE"/>
    <w:rsid w:val="00D64771"/>
    <w:rsid w:val="00D716BB"/>
    <w:rsid w:val="00D83A6E"/>
    <w:rsid w:val="00D91B5E"/>
    <w:rsid w:val="00DA2B09"/>
    <w:rsid w:val="00DA2E38"/>
    <w:rsid w:val="00DA770F"/>
    <w:rsid w:val="00DB43B7"/>
    <w:rsid w:val="00DB7DCB"/>
    <w:rsid w:val="00DC2421"/>
    <w:rsid w:val="00DC3716"/>
    <w:rsid w:val="00DC43C1"/>
    <w:rsid w:val="00DC4B62"/>
    <w:rsid w:val="00DC5636"/>
    <w:rsid w:val="00DE7909"/>
    <w:rsid w:val="00DF158F"/>
    <w:rsid w:val="00DF7DDE"/>
    <w:rsid w:val="00E012C7"/>
    <w:rsid w:val="00E06CC8"/>
    <w:rsid w:val="00E12A77"/>
    <w:rsid w:val="00E15CF0"/>
    <w:rsid w:val="00E21EA7"/>
    <w:rsid w:val="00E23CAE"/>
    <w:rsid w:val="00E247AF"/>
    <w:rsid w:val="00E24A23"/>
    <w:rsid w:val="00E34D79"/>
    <w:rsid w:val="00E3585A"/>
    <w:rsid w:val="00E4747E"/>
    <w:rsid w:val="00E553AC"/>
    <w:rsid w:val="00E61846"/>
    <w:rsid w:val="00E63AC1"/>
    <w:rsid w:val="00E66486"/>
    <w:rsid w:val="00E705A4"/>
    <w:rsid w:val="00E7129D"/>
    <w:rsid w:val="00E80AD5"/>
    <w:rsid w:val="00E80BCC"/>
    <w:rsid w:val="00E8226D"/>
    <w:rsid w:val="00E86C07"/>
    <w:rsid w:val="00EA035F"/>
    <w:rsid w:val="00EA41E1"/>
    <w:rsid w:val="00EA699F"/>
    <w:rsid w:val="00EB26A8"/>
    <w:rsid w:val="00EB3227"/>
    <w:rsid w:val="00EB4986"/>
    <w:rsid w:val="00EB56B1"/>
    <w:rsid w:val="00EB71B4"/>
    <w:rsid w:val="00EC50FD"/>
    <w:rsid w:val="00EC5583"/>
    <w:rsid w:val="00ED6D32"/>
    <w:rsid w:val="00EE3002"/>
    <w:rsid w:val="00EE4BE6"/>
    <w:rsid w:val="00EE53FC"/>
    <w:rsid w:val="00EF1C39"/>
    <w:rsid w:val="00EF2589"/>
    <w:rsid w:val="00F0262D"/>
    <w:rsid w:val="00F02CBD"/>
    <w:rsid w:val="00F10715"/>
    <w:rsid w:val="00F12DDC"/>
    <w:rsid w:val="00F13D57"/>
    <w:rsid w:val="00F240AB"/>
    <w:rsid w:val="00F338FD"/>
    <w:rsid w:val="00F404F3"/>
    <w:rsid w:val="00F406E5"/>
    <w:rsid w:val="00F427E4"/>
    <w:rsid w:val="00F47522"/>
    <w:rsid w:val="00F525DD"/>
    <w:rsid w:val="00F53945"/>
    <w:rsid w:val="00F54FF9"/>
    <w:rsid w:val="00F55950"/>
    <w:rsid w:val="00F63A00"/>
    <w:rsid w:val="00F6645D"/>
    <w:rsid w:val="00F679F6"/>
    <w:rsid w:val="00F74E92"/>
    <w:rsid w:val="00F81FB1"/>
    <w:rsid w:val="00F83DAF"/>
    <w:rsid w:val="00F849A5"/>
    <w:rsid w:val="00F86CAA"/>
    <w:rsid w:val="00F97088"/>
    <w:rsid w:val="00FA0AFA"/>
    <w:rsid w:val="00FA16C3"/>
    <w:rsid w:val="00FA4572"/>
    <w:rsid w:val="00FA51F0"/>
    <w:rsid w:val="00FB0F26"/>
    <w:rsid w:val="00FB1F36"/>
    <w:rsid w:val="00FB650F"/>
    <w:rsid w:val="00FC416D"/>
    <w:rsid w:val="00FC51FD"/>
    <w:rsid w:val="00FC7588"/>
    <w:rsid w:val="00FD168E"/>
    <w:rsid w:val="00FE2EF4"/>
    <w:rsid w:val="00FF433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6E6C"/>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176E6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176E6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176E6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176E6C"/>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176E6C"/>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176E6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176E6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176E6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176E6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76E6C"/>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176E6C"/>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176E6C"/>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176E6C"/>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176E6C"/>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176E6C"/>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176E6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176E6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176E6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176E6C"/>
    <w:pPr>
      <w:spacing w:line="240" w:lineRule="auto"/>
    </w:pPr>
    <w:rPr>
      <w:bCs/>
      <w:color w:val="auto"/>
      <w:sz w:val="18"/>
      <w:szCs w:val="18"/>
    </w:rPr>
  </w:style>
  <w:style w:type="paragraph" w:styleId="Sprechblasentext">
    <w:name w:val="Balloon Text"/>
    <w:basedOn w:val="Standard"/>
    <w:link w:val="SprechblasentextZchn"/>
    <w:uiPriority w:val="99"/>
    <w:semiHidden/>
    <w:unhideWhenUsed/>
    <w:rsid w:val="00176E6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6E6C"/>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273</Words>
  <Characters>1722</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2016-08-08T14:22:00Z</cp:lastPrinted>
  <dcterms:created xsi:type="dcterms:W3CDTF">2016-08-08T14:22:00Z</dcterms:created>
  <dcterms:modified xsi:type="dcterms:W3CDTF">2016-08-08T14:22:00Z</dcterms:modified>
</cp:coreProperties>
</file>