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C7" w:rsidRPr="0054755C" w:rsidRDefault="00CA6AC7" w:rsidP="00CA6AC7">
      <w:pPr>
        <w:pStyle w:val="berschrift2"/>
        <w:numPr>
          <w:ilvl w:val="0"/>
          <w:numId w:val="0"/>
        </w:numPr>
        <w:ind w:left="576" w:hanging="576"/>
        <w:rPr>
          <w:color w:val="auto"/>
        </w:rPr>
      </w:pPr>
      <w:r w:rsidRPr="00C57ED7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25pt;margin-top:51.15pt;width:462.45pt;height:58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" fillcolor="white [3201]" strokecolor="#4bacc6 [3208]" strokeweight="1pt">
            <v:stroke dashstyle="dash"/>
            <v:shadow color="#868686"/>
            <v:textbox>
              <w:txbxContent>
                <w:p w:rsidR="00CA6AC7" w:rsidRPr="00F31EBF" w:rsidRDefault="00CA6AC7" w:rsidP="00CA6AC7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dient dem Nachweis von Kohlenstoffdioxid. Die SuS sollten Reaktionsgleichu</w:t>
                  </w:r>
                  <w:r>
                    <w:rPr>
                      <w:color w:val="auto"/>
                    </w:rPr>
                    <w:t>n</w:t>
                  </w:r>
                  <w:r>
                    <w:rPr>
                      <w:color w:val="auto"/>
                    </w:rPr>
                    <w:t>gen aufstellen können und verantwortungsbewusst experimentieren, vor allem im Umgang mit der Salzsäure.</w:t>
                  </w:r>
                </w:p>
              </w:txbxContent>
            </v:textbox>
            <w10:wrap type="square"/>
          </v:shape>
        </w:pict>
      </w:r>
      <w:bookmarkStart w:id="0" w:name="_Toc457979506"/>
      <w:r w:rsidRPr="00CC307A">
        <w:rPr>
          <w:color w:val="auto"/>
        </w:rPr>
        <w:t>V</w:t>
      </w:r>
      <w:r>
        <w:rPr>
          <w:color w:val="auto"/>
        </w:rPr>
        <w:t>3</w:t>
      </w:r>
      <w:r w:rsidRPr="00CC307A">
        <w:rPr>
          <w:color w:val="auto"/>
        </w:rPr>
        <w:t xml:space="preserve"> – </w:t>
      </w:r>
      <w:r>
        <w:rPr>
          <w:color w:val="auto"/>
        </w:rPr>
        <w:t>Kohlenstoffdioxid-Nachweis in Wasser</w:t>
      </w:r>
      <w:bookmarkEnd w:id="0"/>
    </w:p>
    <w:p w:rsidR="00CA6AC7" w:rsidRDefault="00CA6AC7" w:rsidP="00CA6AC7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A6AC7" w:rsidRPr="009C5E28" w:rsidTr="00E515FF">
        <w:tc>
          <w:tcPr>
            <w:tcW w:w="9322" w:type="dxa"/>
            <w:gridSpan w:val="9"/>
            <w:shd w:val="clear" w:color="auto" w:fill="4F81BD"/>
            <w:vAlign w:val="center"/>
          </w:tcPr>
          <w:p w:rsidR="00CA6AC7" w:rsidRPr="00F31EBF" w:rsidRDefault="00CA6AC7" w:rsidP="00E515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CA6AC7" w:rsidRPr="009C5E28" w:rsidTr="00E515FF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A6AC7" w:rsidRPr="00BA512F" w:rsidRDefault="00CA6AC7" w:rsidP="00E515FF">
            <w:pPr>
              <w:spacing w:after="0" w:line="276" w:lineRule="auto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Calciumhydroxidlösung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A6AC7" w:rsidRPr="00BA512F" w:rsidRDefault="00CA6AC7" w:rsidP="00E515FF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H: 315, 318, 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A6AC7" w:rsidRPr="00BA512F" w:rsidRDefault="00CA6AC7" w:rsidP="00E515FF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BA512F">
              <w:rPr>
                <w:sz w:val="22"/>
                <w:szCs w:val="22"/>
              </w:rPr>
              <w:t xml:space="preserve">P: </w:t>
            </w:r>
            <w:r>
              <w:rPr>
                <w:sz w:val="22"/>
                <w:szCs w:val="22"/>
              </w:rPr>
              <w:t>261, 280, 305+351+338</w:t>
            </w:r>
          </w:p>
        </w:tc>
      </w:tr>
      <w:tr w:rsidR="00CA6AC7" w:rsidRPr="009C5E28" w:rsidTr="00E515FF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CA6AC7" w:rsidRPr="009C5E28" w:rsidRDefault="00CA6AC7" w:rsidP="00E515FF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CA6AC7" w:rsidRPr="009C5E28" w:rsidRDefault="00CA6AC7" w:rsidP="00E515FF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CA6AC7" w:rsidRPr="00BA512F" w:rsidRDefault="00CA6AC7" w:rsidP="00E515FF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A6AC7" w:rsidRPr="009C5E28" w:rsidTr="00E515FF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CA6AC7" w:rsidRDefault="00CA6AC7" w:rsidP="00E515FF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Kohlenstoffdioxid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CA6AC7" w:rsidRDefault="00CA6AC7" w:rsidP="00E515FF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CA6AC7" w:rsidRPr="00BA512F" w:rsidRDefault="00CA6AC7" w:rsidP="00E515FF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A6AC7" w:rsidRPr="009B11AE" w:rsidTr="00E515FF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CA6AC7" w:rsidRDefault="00CA6AC7" w:rsidP="00E515FF">
            <w:pPr>
              <w:spacing w:after="0" w:line="276" w:lineRule="auto"/>
              <w:jc w:val="center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Calciumcarbonat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CA6AC7" w:rsidRDefault="00CA6AC7" w:rsidP="00E515FF">
            <w:pPr>
              <w:pStyle w:val="Beschriftung"/>
              <w:spacing w:after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CA6AC7" w:rsidRDefault="00CA6AC7" w:rsidP="00E515FF">
            <w:pPr>
              <w:pStyle w:val="Beschriftung"/>
              <w:spacing w:after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CA6AC7" w:rsidRPr="009B11AE" w:rsidTr="00E515FF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CA6AC7" w:rsidRPr="009B11AE" w:rsidRDefault="00CA6AC7" w:rsidP="00E515FF">
            <w:pPr>
              <w:spacing w:after="0" w:line="276" w:lineRule="auto"/>
              <w:jc w:val="center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Cacliumchlorid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CA6AC7" w:rsidRPr="009B11AE" w:rsidRDefault="00CA6AC7" w:rsidP="00E515FF">
            <w:pPr>
              <w:pStyle w:val="Beschriftung"/>
              <w:spacing w:after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H: 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CA6AC7" w:rsidRPr="009B11AE" w:rsidRDefault="00CA6AC7" w:rsidP="00E515FF">
            <w:pPr>
              <w:pStyle w:val="Beschriftung"/>
              <w:spacing w:after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P: 305+351,338</w:t>
            </w:r>
          </w:p>
        </w:tc>
      </w:tr>
      <w:tr w:rsidR="00CA6AC7" w:rsidRPr="009C5E28" w:rsidTr="00E515FF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CA6AC7" w:rsidRDefault="00CA6AC7" w:rsidP="00E515FF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Salzsäure (w=10%)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CA6AC7" w:rsidRDefault="00CA6AC7" w:rsidP="00E515FF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H: 315, 319, 335, 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CA6AC7" w:rsidRDefault="00CA6AC7" w:rsidP="00E515FF">
            <w:pPr>
              <w:pStyle w:val="Beschriftung"/>
              <w:spacing w:after="0"/>
              <w:jc w:val="center"/>
              <w:rPr>
                <w:sz w:val="20"/>
              </w:rPr>
            </w:pPr>
            <w:r w:rsidRPr="00BA512F">
              <w:rPr>
                <w:sz w:val="22"/>
                <w:szCs w:val="22"/>
              </w:rPr>
              <w:t>P:</w:t>
            </w:r>
            <w:r>
              <w:rPr>
                <w:sz w:val="22"/>
                <w:szCs w:val="22"/>
              </w:rPr>
              <w:t xml:space="preserve"> 261, 280, 305+338+310, 302+352, 304+340</w:t>
            </w:r>
          </w:p>
        </w:tc>
      </w:tr>
      <w:tr w:rsidR="00CA6AC7" w:rsidRPr="009C5E28" w:rsidTr="00E515F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A6AC7" w:rsidRPr="009C5E28" w:rsidRDefault="00CA6AC7" w:rsidP="00E515F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A6AC7" w:rsidRPr="009C5E28" w:rsidRDefault="00CA6AC7" w:rsidP="00E515F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A6AC7" w:rsidRPr="009C5E28" w:rsidRDefault="00CA6AC7" w:rsidP="00E515F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A6AC7" w:rsidRPr="009C5E28" w:rsidRDefault="00CA6AC7" w:rsidP="00E515F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A6AC7" w:rsidRPr="009C5E28" w:rsidRDefault="00CA6AC7" w:rsidP="00E515F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A6AC7" w:rsidRPr="009C5E28" w:rsidRDefault="00CA6AC7" w:rsidP="00E515F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A6AC7" w:rsidRPr="009C5E28" w:rsidRDefault="00CA6AC7" w:rsidP="00E515F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A6AC7" w:rsidRPr="009C5E28" w:rsidRDefault="00CA6AC7" w:rsidP="00E515F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A6AC7" w:rsidRPr="009C5E28" w:rsidRDefault="00CA6AC7" w:rsidP="00E515F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6596" cy="559439"/>
                  <wp:effectExtent l="0" t="0" r="4445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print"/>
                          <a:srcRect l="41051" t="37286" r="41101" b="41437"/>
                          <a:stretch/>
                        </pic:blipFill>
                        <pic:spPr bwMode="auto">
                          <a:xfrm>
                            <a:off x="0" y="0"/>
                            <a:ext cx="586596" cy="559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AC7" w:rsidRDefault="00CA6AC7" w:rsidP="00CA6AC7">
      <w:pPr>
        <w:tabs>
          <w:tab w:val="left" w:pos="1701"/>
          <w:tab w:val="left" w:pos="1985"/>
        </w:tabs>
        <w:ind w:left="1980" w:hanging="1980"/>
      </w:pPr>
    </w:p>
    <w:p w:rsidR="00CA6AC7" w:rsidRDefault="00CA6AC7" w:rsidP="00CA6AC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200 </w:t>
      </w:r>
      <w:proofErr w:type="spellStart"/>
      <w:r>
        <w:t>mL</w:t>
      </w:r>
      <w:proofErr w:type="spellEnd"/>
      <w:r>
        <w:t xml:space="preserve"> </w:t>
      </w:r>
      <w:proofErr w:type="spellStart"/>
      <w:r>
        <w:t>Enghals</w:t>
      </w:r>
      <w:proofErr w:type="spellEnd"/>
      <w:r>
        <w:t xml:space="preserve">-Erlenmeyerkolben, beheizbarer </w:t>
      </w:r>
      <w:proofErr w:type="spellStart"/>
      <w:r>
        <w:t>Magnetrührer</w:t>
      </w:r>
      <w:proofErr w:type="spellEnd"/>
      <w:r>
        <w:t>, Rührfisch, Spritze, Reagenzglasständer, Reagenzglas, Pipette</w:t>
      </w:r>
    </w:p>
    <w:p w:rsidR="00CA6AC7" w:rsidRPr="00ED07C2" w:rsidRDefault="00CA6AC7" w:rsidP="00CA6AC7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Sprudelwasser, gesättigte und klare </w:t>
      </w:r>
      <w:proofErr w:type="spellStart"/>
      <w:r>
        <w:t>Calciumhydroxidlösung</w:t>
      </w:r>
      <w:proofErr w:type="spellEnd"/>
      <w:r>
        <w:t>, 10% Salzsä</w:t>
      </w:r>
      <w:r>
        <w:t>u</w:t>
      </w:r>
      <w:r>
        <w:t>re</w:t>
      </w:r>
    </w:p>
    <w:p w:rsidR="00CA6AC7" w:rsidRDefault="00CA6AC7" w:rsidP="00CA6AC7">
      <w:pPr>
        <w:tabs>
          <w:tab w:val="left" w:pos="1701"/>
          <w:tab w:val="left" w:pos="1985"/>
        </w:tabs>
        <w:spacing w:after="0"/>
        <w:ind w:left="1979" w:hanging="1979"/>
      </w:pPr>
      <w:r>
        <w:t xml:space="preserve">Durchführung: </w:t>
      </w:r>
      <w:r>
        <w:tab/>
      </w:r>
      <w:r>
        <w:tab/>
        <w:t>Es werden 150 </w:t>
      </w:r>
      <w:proofErr w:type="spellStart"/>
      <w:r>
        <w:t>mL</w:t>
      </w:r>
      <w:proofErr w:type="spellEnd"/>
      <w:r>
        <w:t xml:space="preserve"> Sprudelwasser in einen Erlenmeyerkolben gefüllt und dieser mit einem Rührfisch auf einen </w:t>
      </w:r>
      <w:proofErr w:type="spellStart"/>
      <w:r>
        <w:t>Magnetrührer</w:t>
      </w:r>
      <w:proofErr w:type="spellEnd"/>
      <w:r>
        <w:t xml:space="preserve"> gestellt. Die Heiz- und Rührfunktion wird angestellt und die Spritze über die Öffnung gehalten. Sobald eine Gasbildung einsetzt wird die Spritze langsam aufgezogen, s</w:t>
      </w:r>
      <w:r>
        <w:t>o</w:t>
      </w:r>
      <w:r>
        <w:t xml:space="preserve">dass nur Gas in die Spritze gelangt. Anschließend wird der Spritzeninhalt in ein Reagenzglas mit </w:t>
      </w:r>
      <w:proofErr w:type="spellStart"/>
      <w:r>
        <w:t>Calciumhydroxidlösung</w:t>
      </w:r>
      <w:proofErr w:type="spellEnd"/>
      <w:r>
        <w:t xml:space="preserve"> langsam eingeleitet. Danach werden einige Tropfen Salzsäure in das Reagenzglas getropft.</w:t>
      </w:r>
    </w:p>
    <w:p w:rsidR="00CA6AC7" w:rsidRDefault="00CA6AC7" w:rsidP="00CA6AC7">
      <w:pPr>
        <w:tabs>
          <w:tab w:val="left" w:pos="1701"/>
          <w:tab w:val="left" w:pos="1985"/>
        </w:tabs>
        <w:spacing w:after="0"/>
        <w:ind w:left="1979" w:hanging="1979"/>
      </w:pPr>
    </w:p>
    <w:p w:rsidR="00CA6AC7" w:rsidRDefault="00CA6AC7" w:rsidP="00CA6AC7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Bei der </w:t>
      </w:r>
      <w:r w:rsidRPr="00837DE7">
        <w:t>Erwärmung und während des Rührens tritt eine Gasentwicklung auf. Nach der Einleitung des Gases in das Kalkwasser entsteht ein milchig, trüber Niederschlag. Nach Zugabe der Salzsäure löst sich dieser Niede</w:t>
      </w:r>
      <w:r w:rsidRPr="00837DE7">
        <w:t>r</w:t>
      </w:r>
      <w:r w:rsidRPr="00837DE7">
        <w:t>schlag wieder auf und es findet eine Gasentwicklung statt.</w:t>
      </w:r>
    </w:p>
    <w:p w:rsidR="00CA6AC7" w:rsidRDefault="00CA6AC7" w:rsidP="00CA6AC7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2223948" cy="3062177"/>
            <wp:effectExtent l="19050" t="0" r="4902" b="0"/>
            <wp:docPr id="14" name="Bild 9" descr="C:\Users\User\Desktop\Fällungsreaktionen\13664382_10206671230159690_19829220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Fällungsreaktionen\13664382_10206671230159690_1982922025_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4318" t="14532" r="27134" b="14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948" cy="306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2057557" cy="3062177"/>
            <wp:effectExtent l="19050" t="0" r="0" b="0"/>
            <wp:docPr id="15" name="Bild 10" descr="C:\Users\User\Desktop\Fällungsreaktionen\13644104_10206671230319694_6063892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Fällungsreaktionen\13644104_10206671230319694_606389202_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1945" t="16749" r="36095" b="19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557" cy="306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AC7" w:rsidRDefault="00CA6AC7" w:rsidP="00CA6AC7">
      <w:pPr>
        <w:pStyle w:val="Beschriftung"/>
        <w:jc w:val="center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 xml:space="preserve"> - </w:t>
      </w:r>
      <w:r>
        <w:rPr>
          <w:noProof/>
        </w:rPr>
        <w:t>Nachweis von Kohlenstoffdioxid, links gesättigte Calciumhydroxidlösung, rechts nach Einleitung vonKohlenstoffdioxid</w:t>
      </w:r>
    </w:p>
    <w:p w:rsidR="00CA6AC7" w:rsidRDefault="00CA6AC7" w:rsidP="00CA6AC7">
      <w:pPr>
        <w:tabs>
          <w:tab w:val="left" w:pos="1701"/>
          <w:tab w:val="left" w:pos="1985"/>
        </w:tabs>
        <w:ind w:left="1985" w:hanging="2124"/>
      </w:pPr>
      <w:r>
        <w:t>Deutung:</w:t>
      </w:r>
      <w:r>
        <w:tab/>
      </w:r>
      <w:r>
        <w:tab/>
        <w:t>Durch die Erwärmung und das Rühren des Wassers wird das Kohlenstof</w:t>
      </w:r>
      <w:r>
        <w:t>f</w:t>
      </w:r>
      <w:r>
        <w:t xml:space="preserve">dioxid ausgetrieben. Das Gas reagiert mit </w:t>
      </w:r>
      <w:proofErr w:type="spellStart"/>
      <w:r>
        <w:t>Calciumhydroxid</w:t>
      </w:r>
      <w:proofErr w:type="spellEnd"/>
      <w:r>
        <w:t xml:space="preserve"> zu </w:t>
      </w:r>
      <w:proofErr w:type="spellStart"/>
      <w:r>
        <w:t>Calciumcarbonat</w:t>
      </w:r>
      <w:proofErr w:type="spellEnd"/>
      <w:r>
        <w:t xml:space="preserve"> und Wasser:</w:t>
      </w:r>
    </w:p>
    <w:p w:rsidR="00CA6AC7" w:rsidRPr="005E7C80" w:rsidRDefault="00CA6AC7" w:rsidP="00CA6AC7">
      <w:pPr>
        <w:jc w:val="center"/>
        <w:rPr>
          <w:vertAlign w:val="subscript"/>
        </w:rPr>
      </w:pPr>
      <w:proofErr w:type="spellStart"/>
      <w:r w:rsidRPr="005E7C80">
        <w:t>Ca</w:t>
      </w:r>
      <w:proofErr w:type="spellEnd"/>
      <w:r w:rsidRPr="005E7C80">
        <w:t>(OH)</w:t>
      </w:r>
      <w:r w:rsidRPr="005E7C80">
        <w:rPr>
          <w:vertAlign w:val="subscript"/>
        </w:rPr>
        <w:t>2(</w:t>
      </w:r>
      <w:proofErr w:type="spellStart"/>
      <w:r w:rsidRPr="005E7C80">
        <w:rPr>
          <w:vertAlign w:val="subscript"/>
        </w:rPr>
        <w:t>aq</w:t>
      </w:r>
      <w:proofErr w:type="spellEnd"/>
      <w:r w:rsidRPr="005E7C80">
        <w:rPr>
          <w:vertAlign w:val="subscript"/>
        </w:rPr>
        <w:t>)</w:t>
      </w:r>
      <w:r w:rsidRPr="005E7C80">
        <w:t xml:space="preserve"> + CO</w:t>
      </w:r>
      <w:r w:rsidRPr="005E7C80">
        <w:rPr>
          <w:vertAlign w:val="subscript"/>
        </w:rPr>
        <w:t>2(g)</w:t>
      </w:r>
      <w:r w:rsidRPr="005E7C80">
        <w:t xml:space="preserve"> </w:t>
      </w:r>
      <w:r>
        <w:t>⇌</w:t>
      </w:r>
      <w:r w:rsidRPr="005E7C80">
        <w:t xml:space="preserve"> H</w:t>
      </w:r>
      <w:r w:rsidRPr="005E7C80">
        <w:rPr>
          <w:vertAlign w:val="subscript"/>
        </w:rPr>
        <w:t>2</w:t>
      </w:r>
      <w:r w:rsidRPr="005E7C80">
        <w:t>O</w:t>
      </w:r>
      <w:r w:rsidRPr="005E7C80">
        <w:rPr>
          <w:vertAlign w:val="subscript"/>
        </w:rPr>
        <w:t>(l)</w:t>
      </w:r>
      <w:r w:rsidRPr="005E7C80">
        <w:t xml:space="preserve"> + CaCO</w:t>
      </w:r>
      <w:r w:rsidRPr="005E7C80">
        <w:rPr>
          <w:vertAlign w:val="subscript"/>
        </w:rPr>
        <w:t>3(s)</w:t>
      </w:r>
    </w:p>
    <w:p w:rsidR="00CA6AC7" w:rsidRPr="005E7C80" w:rsidRDefault="00CA6AC7" w:rsidP="00CA6AC7">
      <w:pPr>
        <w:tabs>
          <w:tab w:val="left" w:pos="1701"/>
          <w:tab w:val="left" w:pos="1985"/>
        </w:tabs>
        <w:ind w:left="1985" w:hanging="1985"/>
        <w:rPr>
          <w:rFonts w:eastAsiaTheme="minorEastAsia"/>
          <w:color w:val="auto"/>
        </w:rPr>
      </w:pPr>
      <w:r w:rsidRPr="005E7C80">
        <w:tab/>
      </w:r>
      <w:r w:rsidRPr="005E7C80">
        <w:tab/>
      </w:r>
      <w:r w:rsidRPr="005E7C80">
        <w:rPr>
          <w:color w:val="auto"/>
        </w:rPr>
        <w:t xml:space="preserve">Durch Zugabe von Salzsäure </w:t>
      </w:r>
      <w:r w:rsidRPr="005E7C80">
        <w:rPr>
          <w:rFonts w:eastAsiaTheme="minorEastAsia"/>
          <w:color w:val="auto"/>
        </w:rPr>
        <w:t xml:space="preserve">wird der Niederschlag wieder aufgelöst und es entsteht </w:t>
      </w:r>
      <w:r>
        <w:rPr>
          <w:rFonts w:eastAsiaTheme="minorEastAsia"/>
          <w:color w:val="auto"/>
        </w:rPr>
        <w:t>Calciumchlorid und Hydrogencarbonat</w:t>
      </w:r>
      <w:r w:rsidRPr="005E7C80">
        <w:rPr>
          <w:rFonts w:eastAsiaTheme="minorEastAsia"/>
          <w:color w:val="auto"/>
        </w:rPr>
        <w:t>:</w:t>
      </w:r>
    </w:p>
    <w:p w:rsidR="00CA6AC7" w:rsidRDefault="00CA6AC7" w:rsidP="00CA6AC7">
      <w:pPr>
        <w:jc w:val="center"/>
        <w:rPr>
          <w:color w:val="auto"/>
          <w:vertAlign w:val="subscript"/>
          <w:lang w:val="en-US"/>
        </w:rPr>
      </w:pPr>
      <w:r w:rsidRPr="005E7C80">
        <w:rPr>
          <w:color w:val="auto"/>
          <w:lang w:val="en-US"/>
        </w:rPr>
        <w:t>CaCO</w:t>
      </w:r>
      <w:r w:rsidRPr="005E7C80">
        <w:rPr>
          <w:color w:val="auto"/>
          <w:vertAlign w:val="subscript"/>
          <w:lang w:val="en-US"/>
        </w:rPr>
        <w:t>3(s)</w:t>
      </w:r>
      <w:r w:rsidRPr="005E7C80">
        <w:rPr>
          <w:color w:val="auto"/>
          <w:lang w:val="en-US"/>
        </w:rPr>
        <w:t xml:space="preserve"> + </w:t>
      </w:r>
      <w:proofErr w:type="spellStart"/>
      <w:r w:rsidRPr="005E7C80">
        <w:rPr>
          <w:color w:val="auto"/>
          <w:lang w:val="en-US"/>
        </w:rPr>
        <w:t>HCl</w:t>
      </w:r>
      <w:proofErr w:type="spellEnd"/>
      <w:r w:rsidRPr="005E7C80">
        <w:rPr>
          <w:color w:val="auto"/>
          <w:vertAlign w:val="subscript"/>
          <w:lang w:val="en-US"/>
        </w:rPr>
        <w:t>(</w:t>
      </w:r>
      <w:proofErr w:type="spellStart"/>
      <w:r w:rsidRPr="005E7C80">
        <w:rPr>
          <w:color w:val="auto"/>
          <w:vertAlign w:val="subscript"/>
          <w:lang w:val="en-US"/>
        </w:rPr>
        <w:t>aq</w:t>
      </w:r>
      <w:proofErr w:type="spellEnd"/>
      <w:r w:rsidRPr="005E7C80">
        <w:rPr>
          <w:color w:val="auto"/>
          <w:vertAlign w:val="subscript"/>
          <w:lang w:val="en-US"/>
        </w:rPr>
        <w:t>)</w:t>
      </w:r>
      <w:r w:rsidRPr="005E7C80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>⇌</w:t>
      </w:r>
      <w:r w:rsidRPr="005E7C80">
        <w:rPr>
          <w:color w:val="auto"/>
          <w:lang w:val="en-US"/>
        </w:rPr>
        <w:t xml:space="preserve"> CaCl</w:t>
      </w:r>
      <w:r w:rsidRPr="005E7C80">
        <w:rPr>
          <w:color w:val="auto"/>
          <w:vertAlign w:val="subscript"/>
          <w:lang w:val="en-US"/>
        </w:rPr>
        <w:t>2(</w:t>
      </w:r>
      <w:proofErr w:type="spellStart"/>
      <w:r w:rsidRPr="005E7C80">
        <w:rPr>
          <w:color w:val="auto"/>
          <w:vertAlign w:val="subscript"/>
          <w:lang w:val="en-US"/>
        </w:rPr>
        <w:t>aq</w:t>
      </w:r>
      <w:proofErr w:type="spellEnd"/>
      <w:r w:rsidRPr="005E7C80">
        <w:rPr>
          <w:color w:val="auto"/>
          <w:vertAlign w:val="subscript"/>
          <w:lang w:val="en-US"/>
        </w:rPr>
        <w:t>)</w:t>
      </w:r>
      <w:r w:rsidRPr="005E7C80">
        <w:rPr>
          <w:color w:val="auto"/>
          <w:lang w:val="en-US"/>
        </w:rPr>
        <w:t xml:space="preserve"> +</w:t>
      </w:r>
      <w:r>
        <w:rPr>
          <w:color w:val="auto"/>
          <w:lang w:val="en-US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color w:val="auto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  <w:lang w:val="en-US"/>
              </w:rPr>
              <m:t>HCO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  <w:lang w:val="en-US"/>
              </w:rPr>
              <m:t xml:space="preserve">3 </m:t>
            </m:r>
            <m:d>
              <m:dPr>
                <m:ctrlPr>
                  <w:rPr>
                    <w:rFonts w:ascii="Cambria Math" w:eastAsiaTheme="minorEastAsia" w:hAnsi="Cambria Math"/>
                    <w:color w:val="auto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auto"/>
                    <w:lang w:val="en-US"/>
                  </w:rPr>
                  <m:t>aq</m:t>
                </m:r>
              </m:e>
            </m:d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  <w:lang w:val="en-US"/>
              </w:rPr>
              <m:t>-</m:t>
            </m:r>
          </m:sup>
        </m:sSubSup>
      </m:oMath>
      <w:r w:rsidRPr="005E7C80">
        <w:rPr>
          <w:color w:val="auto"/>
          <w:lang w:val="en-US"/>
        </w:rPr>
        <w:t xml:space="preserve"> </w:t>
      </w:r>
    </w:p>
    <w:p w:rsidR="00CA6AC7" w:rsidRPr="009D7965" w:rsidRDefault="00CA6AC7" w:rsidP="00CA6AC7">
      <w:pPr>
        <w:ind w:left="1985" w:hanging="1985"/>
        <w:rPr>
          <w:color w:val="auto"/>
        </w:rPr>
      </w:pPr>
      <w:r>
        <w:rPr>
          <w:color w:val="auto"/>
          <w:lang w:val="en-US"/>
        </w:rPr>
        <w:tab/>
      </w:r>
      <w:r w:rsidRPr="009D7965">
        <w:rPr>
          <w:color w:val="auto"/>
        </w:rPr>
        <w:t>Das Hydrogencarbonat reagiert anschließend mit einem Proton zu Wasser und Kohlenstoffdioxid</w:t>
      </w:r>
      <w:r>
        <w:rPr>
          <w:color w:val="auto"/>
        </w:rPr>
        <w:t>, sodass eine Gasentwicklung zu beobachten ist</w:t>
      </w:r>
      <w:r w:rsidRPr="009D7965">
        <w:rPr>
          <w:color w:val="auto"/>
        </w:rPr>
        <w:t>:</w:t>
      </w:r>
    </w:p>
    <w:p w:rsidR="00CA6AC7" w:rsidRPr="00723627" w:rsidRDefault="00CA6AC7" w:rsidP="00CA6AC7">
      <w:pPr>
        <w:ind w:left="1985" w:hanging="1985"/>
        <w:rPr>
          <w:rFonts w:eastAsiaTheme="minorEastAsia"/>
          <w:color w:val="auto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color w:val="auto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  <w:lang w:val="en-US"/>
                </w:rPr>
                <m:t>HCO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  <w:lang w:val="en-US"/>
                </w:rPr>
                <m:t xml:space="preserve">3 </m:t>
              </m:r>
              <m:d>
                <m:dPr>
                  <m:ctrlPr>
                    <w:rPr>
                      <w:rFonts w:ascii="Cambria Math" w:eastAsiaTheme="minorEastAsia" w:hAnsi="Cambria Math"/>
                      <w:color w:val="auto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auto"/>
                      <w:lang w:val="en-US"/>
                    </w:rPr>
                    <m:t>aq</m:t>
                  </m:r>
                </m:e>
              </m:d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  <w:lang w:val="en-US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color w:val="auto"/>
              <w:lang w:val="en-US"/>
            </w:rPr>
            <m:t xml:space="preserve">+ </m:t>
          </m:r>
          <m:sSubSup>
            <m:sSubSupPr>
              <m:ctrlPr>
                <w:rPr>
                  <w:rFonts w:ascii="Cambria Math" w:eastAsiaTheme="minorEastAsia" w:hAnsi="Cambria Math"/>
                  <w:color w:val="auto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  <w:lang w:val="en-US"/>
                </w:rPr>
                <m:t>H</m:t>
              </m:r>
            </m:e>
            <m:sub>
              <m:d>
                <m:dPr>
                  <m:ctrlPr>
                    <w:rPr>
                      <w:rFonts w:ascii="Cambria Math" w:eastAsiaTheme="minorEastAsia" w:hAnsi="Cambria Math"/>
                      <w:color w:val="auto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auto"/>
                      <w:lang w:val="en-US"/>
                    </w:rPr>
                    <m:t>aq</m:t>
                  </m:r>
                </m:e>
              </m:d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  <w:lang w:val="en-US"/>
                </w:rPr>
                <m:t>+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color w:val="auto"/>
              <w:lang w:val="en-US"/>
            </w:rPr>
            <m:t xml:space="preserve"> ⇌</m:t>
          </m:r>
          <m:sSub>
            <m:sSubPr>
              <m:ctrlPr>
                <w:rPr>
                  <w:rFonts w:ascii="Cambria Math" w:eastAsiaTheme="minorEastAsia" w:hAnsi="Cambria Math"/>
                  <w:color w:val="auto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color w:val="auto"/>
              <w:lang w:val="en-US"/>
            </w:rPr>
            <m:t>C</m:t>
          </m:r>
          <m:sSub>
            <m:sSubPr>
              <m:ctrlPr>
                <w:rPr>
                  <w:rFonts w:ascii="Cambria Math" w:eastAsiaTheme="minorEastAsia" w:hAnsi="Cambria Math"/>
                  <w:color w:val="auto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  <w:lang w:val="en-US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  <w:lang w:val="en-US"/>
                </w:rPr>
                <m:t xml:space="preserve">3 </m:t>
              </m:r>
              <m:d>
                <m:dPr>
                  <m:ctrlPr>
                    <w:rPr>
                      <w:rFonts w:ascii="Cambria Math" w:eastAsiaTheme="minorEastAsia" w:hAnsi="Cambria Math"/>
                      <w:color w:val="auto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auto"/>
                      <w:lang w:val="en-US"/>
                    </w:rPr>
                    <m:t>aq</m:t>
                  </m:r>
                </m:e>
              </m:d>
            </m:sub>
          </m:sSub>
          <m:r>
            <m:rPr>
              <m:sty m:val="p"/>
            </m:rPr>
            <w:rPr>
              <w:rFonts w:ascii="Cambria Math" w:eastAsiaTheme="minorEastAsia" w:hAnsi="Cambria Math"/>
              <w:color w:val="auto"/>
              <w:lang w:val="en-US"/>
            </w:rPr>
            <m:t xml:space="preserve"> ⇌C</m:t>
          </m:r>
          <m:sSub>
            <m:sSubPr>
              <m:ctrlPr>
                <w:rPr>
                  <w:rFonts w:ascii="Cambria Math" w:eastAsiaTheme="minorEastAsia" w:hAnsi="Cambria Math"/>
                  <w:color w:val="auto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  <w:lang w:val="en-US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  <w:lang w:val="en-US"/>
                </w:rPr>
                <m:t>2 (g)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color w:val="auto"/>
              <w:lang w:val="en-US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/>
                  <w:color w:val="auto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color w:val="auto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  <w:lang w:val="en-US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  <w:lang w:val="en-US"/>
                </w:rPr>
                <m:t>(l)</m:t>
              </m:r>
            </m:sub>
          </m:sSub>
        </m:oMath>
      </m:oMathPara>
    </w:p>
    <w:p w:rsidR="00CA6AC7" w:rsidRDefault="00CA6AC7" w:rsidP="00CA6AC7">
      <w:pPr>
        <w:spacing w:after="0"/>
        <w:ind w:left="2126" w:hanging="2126"/>
      </w:pPr>
      <w:r w:rsidRPr="005E7C80">
        <w:t>Entsorgung:</w:t>
      </w:r>
      <w:r w:rsidRPr="005E7C80">
        <w:tab/>
        <w:t>Das Wasser kann in den Ausguss gegeben werden. Die Entsorgung der Lösung des Reagenzglases erfolgt über den</w:t>
      </w:r>
      <w:r>
        <w:t xml:space="preserve"> anorganischen Abfall mit Schwermetallen unter Beachtung alkalischer pH-Werte. </w:t>
      </w:r>
    </w:p>
    <w:p w:rsidR="00CA6AC7" w:rsidRPr="005B60E3" w:rsidRDefault="00CA6AC7" w:rsidP="00CA6AC7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r>
        <w:tab/>
      </w:r>
    </w:p>
    <w:p w:rsidR="00CA6AC7" w:rsidRPr="00D76B24" w:rsidRDefault="00CA6AC7" w:rsidP="00CA6AC7">
      <w:pPr>
        <w:rPr>
          <w:rFonts w:asciiTheme="majorHAnsi" w:hAnsiTheme="majorHAnsi"/>
        </w:rPr>
      </w:pPr>
      <w:r w:rsidRPr="00B937A2">
        <w:rPr>
          <w:rFonts w:asciiTheme="majorHAnsi" w:hAnsiTheme="majorHAnsi"/>
        </w:rPr>
        <w:t xml:space="preserve"> [</w:t>
      </w:r>
      <w:r>
        <w:rPr>
          <w:rFonts w:asciiTheme="majorHAnsi" w:hAnsiTheme="majorHAnsi"/>
        </w:rPr>
        <w:t>1</w:t>
      </w:r>
      <w:r w:rsidRPr="00B937A2">
        <w:rPr>
          <w:rFonts w:asciiTheme="majorHAnsi" w:hAnsiTheme="majorHAnsi"/>
        </w:rPr>
        <w:t xml:space="preserve">] </w:t>
      </w:r>
      <w:proofErr w:type="spellStart"/>
      <w:r>
        <w:rPr>
          <w:rFonts w:asciiTheme="majorHAnsi" w:hAnsiTheme="majorHAnsi"/>
        </w:rPr>
        <w:t>Maisenbacher</w:t>
      </w:r>
      <w:proofErr w:type="spellEnd"/>
      <w:r w:rsidRPr="00334DD8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P</w:t>
      </w:r>
      <w:r w:rsidRPr="00334DD8">
        <w:rPr>
          <w:rFonts w:asciiTheme="majorHAnsi" w:hAnsiTheme="majorHAnsi"/>
        </w:rPr>
        <w:t>., http</w:t>
      </w:r>
      <w:r w:rsidRPr="00FF1E6E">
        <w:rPr>
          <w:rFonts w:asciiTheme="majorHAnsi" w:hAnsiTheme="majorHAnsi"/>
        </w:rPr>
        <w:t>://www.schule-bw.de/unterricht/faecher/chemie/material/lehr/</w:t>
      </w:r>
      <w:r>
        <w:rPr>
          <w:rFonts w:asciiTheme="majorHAnsi" w:hAnsiTheme="majorHAnsi"/>
        </w:rPr>
        <w:t>-</w:t>
      </w:r>
      <w:r w:rsidRPr="00FF1E6E">
        <w:rPr>
          <w:rFonts w:asciiTheme="majorHAnsi" w:hAnsiTheme="majorHAnsi"/>
        </w:rPr>
        <w:t>wasserblaetter/07.pdf</w:t>
      </w:r>
      <w:r>
        <w:rPr>
          <w:rFonts w:asciiTheme="majorHAnsi" w:hAnsiTheme="majorHAnsi"/>
        </w:rPr>
        <w:t>, S. 1,</w:t>
      </w:r>
      <w:r w:rsidRPr="00334DD8">
        <w:rPr>
          <w:rFonts w:asciiTheme="majorHAnsi" w:hAnsiTheme="majorHAnsi"/>
        </w:rPr>
        <w:t xml:space="preserve"> (Zuletzt abgerufen am 25.07.2016 um 1</w:t>
      </w:r>
      <w:r>
        <w:rPr>
          <w:rFonts w:asciiTheme="majorHAnsi" w:hAnsiTheme="majorHAnsi"/>
        </w:rPr>
        <w:t>3</w:t>
      </w:r>
      <w:r w:rsidRPr="00334DD8">
        <w:rPr>
          <w:rFonts w:asciiTheme="majorHAnsi" w:hAnsiTheme="majorHAnsi"/>
        </w:rPr>
        <w:t>:17</w:t>
      </w:r>
      <w:r>
        <w:rPr>
          <w:rFonts w:asciiTheme="majorHAnsi" w:hAnsiTheme="majorHAnsi"/>
        </w:rPr>
        <w:t xml:space="preserve"> </w:t>
      </w:r>
      <w:r w:rsidRPr="00334DD8">
        <w:rPr>
          <w:rFonts w:asciiTheme="majorHAnsi" w:hAnsiTheme="majorHAnsi"/>
        </w:rPr>
        <w:t>Uhr).</w:t>
      </w:r>
    </w:p>
    <w:p w:rsidR="00CA6AC7" w:rsidRDefault="00CA6AC7" w:rsidP="00CA6AC7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</w:r>
      <w:r>
        <w:rPr>
          <w:noProof/>
          <w:lang w:eastAsia="de-DE"/>
        </w:rPr>
        <w:pict>
          <v:shape id="Text Box 28" o:spid="_x0000_s1026" type="#_x0000_t202" style="width:462.45pt;height:159.6pt;visibility:visible;mso-position-horizontal-relative:char;mso-position-vertical-relative:line" fillcolor="white [3201]" strokecolor="#c0504d [3205]" strokeweight="1pt">
            <v:stroke dashstyle="dash"/>
            <v:shadow color="#868686"/>
            <v:textbox>
              <w:txbxContent>
                <w:p w:rsidR="00CA6AC7" w:rsidRPr="004B1506" w:rsidRDefault="00CA6AC7" w:rsidP="00CA6AC7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kann als Einführung in verschieden Nachweisreaktionen dienen. Zudem ist dieser Nachweis neben dem Sauerstoff- und Wasserstoffnachweis elementar wichtig, um entstehende Gase nachzuweisen und somit sicher zu gehen, dass es sich tatsächlich um das ve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>mutete Gas handelt. Dieser Versuch kann auch im Rahmen einer kohlensäurehaltigen Minera</w:t>
                  </w:r>
                  <w:r>
                    <w:rPr>
                      <w:color w:val="auto"/>
                    </w:rPr>
                    <w:t>l</w:t>
                  </w:r>
                  <w:r>
                    <w:rPr>
                      <w:color w:val="auto"/>
                    </w:rPr>
                    <w:t>wasseranalyse stattfinden, bei der die SuS eigenständig Versuche planen, um einzelne Etike</w:t>
                  </w:r>
                  <w:r>
                    <w:rPr>
                      <w:color w:val="auto"/>
                    </w:rPr>
                    <w:t>t</w:t>
                  </w:r>
                  <w:r>
                    <w:rPr>
                      <w:color w:val="auto"/>
                    </w:rPr>
                    <w:t>tenangaben zu bestätigen. Bei der Arbeit mit 10%iger Salzsäure ist unbedingt ein Kittel, eine Schutzbrille und Schutzhandschuhe zu tragen. Alternativ kann der Versuch auch mit Cola erfo</w:t>
                  </w:r>
                  <w:r>
                    <w:rPr>
                      <w:color w:val="auto"/>
                    </w:rPr>
                    <w:t>l</w:t>
                  </w:r>
                  <w:r>
                    <w:rPr>
                      <w:color w:val="auto"/>
                    </w:rPr>
                    <w:t>gen und im dem Zusammenhang ein Zuckernachweis in Cola durchgeführt werden.</w:t>
                  </w:r>
                </w:p>
                <w:p w:rsidR="00CA6AC7" w:rsidRPr="00F31EBF" w:rsidRDefault="00CA6AC7" w:rsidP="00CA6AC7">
                  <w:pPr>
                    <w:rPr>
                      <w:color w:val="auto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E61846" w:rsidRDefault="00E61846"/>
    <w:sectPr w:rsidR="00E61846" w:rsidSect="00E618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revisionView w:inkAnnotations="0"/>
  <w:defaultTabStop w:val="708"/>
  <w:hyphenationZone w:val="425"/>
  <w:characterSpacingControl w:val="doNotCompress"/>
  <w:compat/>
  <w:rsids>
    <w:rsidRoot w:val="00CA6AC7"/>
    <w:rsid w:val="00002B4A"/>
    <w:rsid w:val="00002D5B"/>
    <w:rsid w:val="00002F72"/>
    <w:rsid w:val="00006498"/>
    <w:rsid w:val="0001252D"/>
    <w:rsid w:val="000175B4"/>
    <w:rsid w:val="00017AD9"/>
    <w:rsid w:val="000253C7"/>
    <w:rsid w:val="00036E76"/>
    <w:rsid w:val="00040A31"/>
    <w:rsid w:val="000423FC"/>
    <w:rsid w:val="00042BBC"/>
    <w:rsid w:val="00042EDD"/>
    <w:rsid w:val="00045C03"/>
    <w:rsid w:val="00053D18"/>
    <w:rsid w:val="000543BA"/>
    <w:rsid w:val="00056D9C"/>
    <w:rsid w:val="000575AB"/>
    <w:rsid w:val="00057873"/>
    <w:rsid w:val="000606C5"/>
    <w:rsid w:val="00062B9A"/>
    <w:rsid w:val="00065DC9"/>
    <w:rsid w:val="00083E84"/>
    <w:rsid w:val="00093D84"/>
    <w:rsid w:val="000A0C1A"/>
    <w:rsid w:val="000A419F"/>
    <w:rsid w:val="000B6868"/>
    <w:rsid w:val="000D045D"/>
    <w:rsid w:val="000D1A3C"/>
    <w:rsid w:val="000D2FE8"/>
    <w:rsid w:val="000D74E5"/>
    <w:rsid w:val="000E04CE"/>
    <w:rsid w:val="000E1A0B"/>
    <w:rsid w:val="000E57C4"/>
    <w:rsid w:val="000E57D0"/>
    <w:rsid w:val="000F0C0C"/>
    <w:rsid w:val="0010075A"/>
    <w:rsid w:val="00100974"/>
    <w:rsid w:val="00104C7C"/>
    <w:rsid w:val="001248CD"/>
    <w:rsid w:val="00131A40"/>
    <w:rsid w:val="00134435"/>
    <w:rsid w:val="00142C17"/>
    <w:rsid w:val="001454F7"/>
    <w:rsid w:val="001537FA"/>
    <w:rsid w:val="001640C0"/>
    <w:rsid w:val="001711CE"/>
    <w:rsid w:val="001725B5"/>
    <w:rsid w:val="00172D86"/>
    <w:rsid w:val="001818E5"/>
    <w:rsid w:val="001A17B4"/>
    <w:rsid w:val="001A5CBD"/>
    <w:rsid w:val="001B3161"/>
    <w:rsid w:val="001B31AC"/>
    <w:rsid w:val="001C3532"/>
    <w:rsid w:val="001C440A"/>
    <w:rsid w:val="001C4BD3"/>
    <w:rsid w:val="001D05F1"/>
    <w:rsid w:val="001D0815"/>
    <w:rsid w:val="00202B6F"/>
    <w:rsid w:val="002054B9"/>
    <w:rsid w:val="002128A1"/>
    <w:rsid w:val="00220011"/>
    <w:rsid w:val="00221BD7"/>
    <w:rsid w:val="0022346E"/>
    <w:rsid w:val="00233921"/>
    <w:rsid w:val="00247CE0"/>
    <w:rsid w:val="00252240"/>
    <w:rsid w:val="002549AD"/>
    <w:rsid w:val="002603FA"/>
    <w:rsid w:val="00263856"/>
    <w:rsid w:val="00271FE5"/>
    <w:rsid w:val="00276DB2"/>
    <w:rsid w:val="00276ECB"/>
    <w:rsid w:val="00281CE1"/>
    <w:rsid w:val="00294913"/>
    <w:rsid w:val="00295594"/>
    <w:rsid w:val="002A2F8C"/>
    <w:rsid w:val="002A46D3"/>
    <w:rsid w:val="002B0899"/>
    <w:rsid w:val="002C1B21"/>
    <w:rsid w:val="002C452E"/>
    <w:rsid w:val="002D0D9D"/>
    <w:rsid w:val="002D2DF9"/>
    <w:rsid w:val="002D7C67"/>
    <w:rsid w:val="002E4FC6"/>
    <w:rsid w:val="002E7151"/>
    <w:rsid w:val="002F444C"/>
    <w:rsid w:val="0030214C"/>
    <w:rsid w:val="0030588E"/>
    <w:rsid w:val="00307DB3"/>
    <w:rsid w:val="003119E3"/>
    <w:rsid w:val="003138A8"/>
    <w:rsid w:val="003138AB"/>
    <w:rsid w:val="0031640D"/>
    <w:rsid w:val="00316787"/>
    <w:rsid w:val="003174BA"/>
    <w:rsid w:val="003177AD"/>
    <w:rsid w:val="00323BCD"/>
    <w:rsid w:val="0033283A"/>
    <w:rsid w:val="00333EA9"/>
    <w:rsid w:val="00356A4F"/>
    <w:rsid w:val="00362CEE"/>
    <w:rsid w:val="00377B6C"/>
    <w:rsid w:val="003814D8"/>
    <w:rsid w:val="003923CA"/>
    <w:rsid w:val="003A1205"/>
    <w:rsid w:val="003B5C8D"/>
    <w:rsid w:val="003B6141"/>
    <w:rsid w:val="003C1BDC"/>
    <w:rsid w:val="003C35D2"/>
    <w:rsid w:val="003C4E19"/>
    <w:rsid w:val="003C7669"/>
    <w:rsid w:val="003D29D2"/>
    <w:rsid w:val="003E5EFD"/>
    <w:rsid w:val="003E6680"/>
    <w:rsid w:val="003E66E5"/>
    <w:rsid w:val="003E6987"/>
    <w:rsid w:val="003F156B"/>
    <w:rsid w:val="003F514D"/>
    <w:rsid w:val="003F6F63"/>
    <w:rsid w:val="00400FF4"/>
    <w:rsid w:val="00404E21"/>
    <w:rsid w:val="00405BB8"/>
    <w:rsid w:val="0042183D"/>
    <w:rsid w:val="00426D5B"/>
    <w:rsid w:val="00431537"/>
    <w:rsid w:val="00434BF6"/>
    <w:rsid w:val="004350D6"/>
    <w:rsid w:val="004571F9"/>
    <w:rsid w:val="00457865"/>
    <w:rsid w:val="0046431B"/>
    <w:rsid w:val="00470A8C"/>
    <w:rsid w:val="004729AE"/>
    <w:rsid w:val="00477A05"/>
    <w:rsid w:val="00482269"/>
    <w:rsid w:val="00484BFA"/>
    <w:rsid w:val="004860F5"/>
    <w:rsid w:val="0049398F"/>
    <w:rsid w:val="00495F43"/>
    <w:rsid w:val="004A31B9"/>
    <w:rsid w:val="004B39F9"/>
    <w:rsid w:val="004B7660"/>
    <w:rsid w:val="004B7C7C"/>
    <w:rsid w:val="004B7CBB"/>
    <w:rsid w:val="004C0AA6"/>
    <w:rsid w:val="004C207B"/>
    <w:rsid w:val="004F147B"/>
    <w:rsid w:val="004F2CD7"/>
    <w:rsid w:val="00521ED8"/>
    <w:rsid w:val="00524347"/>
    <w:rsid w:val="00531D46"/>
    <w:rsid w:val="00536C1E"/>
    <w:rsid w:val="00540455"/>
    <w:rsid w:val="00545685"/>
    <w:rsid w:val="00571490"/>
    <w:rsid w:val="00572E1F"/>
    <w:rsid w:val="005832EE"/>
    <w:rsid w:val="00596EB0"/>
    <w:rsid w:val="005A6D9D"/>
    <w:rsid w:val="005A7B22"/>
    <w:rsid w:val="005B09ED"/>
    <w:rsid w:val="005B3446"/>
    <w:rsid w:val="005B35B7"/>
    <w:rsid w:val="005C0A82"/>
    <w:rsid w:val="005C1927"/>
    <w:rsid w:val="005C41ED"/>
    <w:rsid w:val="005F0490"/>
    <w:rsid w:val="00600807"/>
    <w:rsid w:val="00604C77"/>
    <w:rsid w:val="00620997"/>
    <w:rsid w:val="0062181B"/>
    <w:rsid w:val="0063549B"/>
    <w:rsid w:val="00642135"/>
    <w:rsid w:val="00650FBA"/>
    <w:rsid w:val="00660AC2"/>
    <w:rsid w:val="006632AB"/>
    <w:rsid w:val="00670400"/>
    <w:rsid w:val="00672B38"/>
    <w:rsid w:val="00680109"/>
    <w:rsid w:val="0068177D"/>
    <w:rsid w:val="00683BC5"/>
    <w:rsid w:val="00683E58"/>
    <w:rsid w:val="00690DFA"/>
    <w:rsid w:val="006A0462"/>
    <w:rsid w:val="006A0860"/>
    <w:rsid w:val="006A3734"/>
    <w:rsid w:val="006A7379"/>
    <w:rsid w:val="006B3289"/>
    <w:rsid w:val="006B572F"/>
    <w:rsid w:val="006C3D8E"/>
    <w:rsid w:val="006D0802"/>
    <w:rsid w:val="006D31BC"/>
    <w:rsid w:val="006F4017"/>
    <w:rsid w:val="006F5E34"/>
    <w:rsid w:val="007004FA"/>
    <w:rsid w:val="0070527D"/>
    <w:rsid w:val="00730042"/>
    <w:rsid w:val="00730DE2"/>
    <w:rsid w:val="00732EB1"/>
    <w:rsid w:val="00737CE9"/>
    <w:rsid w:val="007441B0"/>
    <w:rsid w:val="00750889"/>
    <w:rsid w:val="00751628"/>
    <w:rsid w:val="007612B8"/>
    <w:rsid w:val="007671A4"/>
    <w:rsid w:val="0077050A"/>
    <w:rsid w:val="007779CE"/>
    <w:rsid w:val="00784310"/>
    <w:rsid w:val="00792E50"/>
    <w:rsid w:val="0079439D"/>
    <w:rsid w:val="007A5C54"/>
    <w:rsid w:val="007B2CA1"/>
    <w:rsid w:val="007C27EF"/>
    <w:rsid w:val="007C6490"/>
    <w:rsid w:val="007C7206"/>
    <w:rsid w:val="007E013F"/>
    <w:rsid w:val="007E0410"/>
    <w:rsid w:val="007E2DFF"/>
    <w:rsid w:val="007E36D6"/>
    <w:rsid w:val="007F0C5D"/>
    <w:rsid w:val="007F6521"/>
    <w:rsid w:val="00805ADB"/>
    <w:rsid w:val="0081092C"/>
    <w:rsid w:val="00816D08"/>
    <w:rsid w:val="008176EB"/>
    <w:rsid w:val="00822A27"/>
    <w:rsid w:val="00831171"/>
    <w:rsid w:val="008325E6"/>
    <w:rsid w:val="0083296C"/>
    <w:rsid w:val="00833E99"/>
    <w:rsid w:val="0084454B"/>
    <w:rsid w:val="008451FF"/>
    <w:rsid w:val="00855F29"/>
    <w:rsid w:val="00856B4D"/>
    <w:rsid w:val="008573EE"/>
    <w:rsid w:val="00857C84"/>
    <w:rsid w:val="00870072"/>
    <w:rsid w:val="00892671"/>
    <w:rsid w:val="00894969"/>
    <w:rsid w:val="00897B67"/>
    <w:rsid w:val="008A18AF"/>
    <w:rsid w:val="008A1A19"/>
    <w:rsid w:val="008A260A"/>
    <w:rsid w:val="008A6DE3"/>
    <w:rsid w:val="008B32BC"/>
    <w:rsid w:val="008B7734"/>
    <w:rsid w:val="008C0C82"/>
    <w:rsid w:val="008D12BD"/>
    <w:rsid w:val="008D664A"/>
    <w:rsid w:val="008D7122"/>
    <w:rsid w:val="008F1407"/>
    <w:rsid w:val="009006C2"/>
    <w:rsid w:val="00906CA3"/>
    <w:rsid w:val="00911048"/>
    <w:rsid w:val="00915BFC"/>
    <w:rsid w:val="00916601"/>
    <w:rsid w:val="00923996"/>
    <w:rsid w:val="009244B5"/>
    <w:rsid w:val="0093753F"/>
    <w:rsid w:val="00941ED7"/>
    <w:rsid w:val="00943453"/>
    <w:rsid w:val="00946BED"/>
    <w:rsid w:val="00952FF5"/>
    <w:rsid w:val="00954E46"/>
    <w:rsid w:val="00964892"/>
    <w:rsid w:val="00965A6E"/>
    <w:rsid w:val="00965C69"/>
    <w:rsid w:val="009679C8"/>
    <w:rsid w:val="009712F0"/>
    <w:rsid w:val="00972FF5"/>
    <w:rsid w:val="0097660C"/>
    <w:rsid w:val="00977F09"/>
    <w:rsid w:val="00981D88"/>
    <w:rsid w:val="00985433"/>
    <w:rsid w:val="00991F8C"/>
    <w:rsid w:val="0099230A"/>
    <w:rsid w:val="00994058"/>
    <w:rsid w:val="009970AD"/>
    <w:rsid w:val="009A7C5B"/>
    <w:rsid w:val="009C5855"/>
    <w:rsid w:val="009C58E7"/>
    <w:rsid w:val="009C5F0D"/>
    <w:rsid w:val="009D1AE1"/>
    <w:rsid w:val="009F35B4"/>
    <w:rsid w:val="009F3DC9"/>
    <w:rsid w:val="009F5E4E"/>
    <w:rsid w:val="009F6A06"/>
    <w:rsid w:val="009F768E"/>
    <w:rsid w:val="00A01ABC"/>
    <w:rsid w:val="00A05C00"/>
    <w:rsid w:val="00A12AE7"/>
    <w:rsid w:val="00A158B3"/>
    <w:rsid w:val="00A15BC2"/>
    <w:rsid w:val="00A16515"/>
    <w:rsid w:val="00A1771B"/>
    <w:rsid w:val="00A26AAE"/>
    <w:rsid w:val="00A448AB"/>
    <w:rsid w:val="00A53139"/>
    <w:rsid w:val="00A56BD0"/>
    <w:rsid w:val="00A63110"/>
    <w:rsid w:val="00A64765"/>
    <w:rsid w:val="00A66D58"/>
    <w:rsid w:val="00A716B6"/>
    <w:rsid w:val="00A7702F"/>
    <w:rsid w:val="00A80068"/>
    <w:rsid w:val="00A878FA"/>
    <w:rsid w:val="00AA08B9"/>
    <w:rsid w:val="00AB63A3"/>
    <w:rsid w:val="00AC755D"/>
    <w:rsid w:val="00AD6E1B"/>
    <w:rsid w:val="00AE5938"/>
    <w:rsid w:val="00AE6DB8"/>
    <w:rsid w:val="00AF0CA5"/>
    <w:rsid w:val="00AF5AD9"/>
    <w:rsid w:val="00AF60F6"/>
    <w:rsid w:val="00B027C5"/>
    <w:rsid w:val="00B041BC"/>
    <w:rsid w:val="00B16804"/>
    <w:rsid w:val="00B16BBA"/>
    <w:rsid w:val="00B17D8F"/>
    <w:rsid w:val="00B30B68"/>
    <w:rsid w:val="00B311D1"/>
    <w:rsid w:val="00B406BE"/>
    <w:rsid w:val="00B41E81"/>
    <w:rsid w:val="00B4340B"/>
    <w:rsid w:val="00B45F3E"/>
    <w:rsid w:val="00B46235"/>
    <w:rsid w:val="00B52800"/>
    <w:rsid w:val="00B52B66"/>
    <w:rsid w:val="00B60858"/>
    <w:rsid w:val="00B615DA"/>
    <w:rsid w:val="00B62F40"/>
    <w:rsid w:val="00B67B66"/>
    <w:rsid w:val="00B71423"/>
    <w:rsid w:val="00B72A35"/>
    <w:rsid w:val="00B75A22"/>
    <w:rsid w:val="00B816CC"/>
    <w:rsid w:val="00B831C2"/>
    <w:rsid w:val="00B90395"/>
    <w:rsid w:val="00BA7A0A"/>
    <w:rsid w:val="00BB0FC4"/>
    <w:rsid w:val="00BB6FC7"/>
    <w:rsid w:val="00BC00BC"/>
    <w:rsid w:val="00BC3B57"/>
    <w:rsid w:val="00BD2C66"/>
    <w:rsid w:val="00BF1A37"/>
    <w:rsid w:val="00BF4B84"/>
    <w:rsid w:val="00C137CE"/>
    <w:rsid w:val="00C14968"/>
    <w:rsid w:val="00C21B59"/>
    <w:rsid w:val="00C30CC9"/>
    <w:rsid w:val="00C34D39"/>
    <w:rsid w:val="00C46655"/>
    <w:rsid w:val="00C55D1C"/>
    <w:rsid w:val="00C6059A"/>
    <w:rsid w:val="00C65CC0"/>
    <w:rsid w:val="00C65F70"/>
    <w:rsid w:val="00C67995"/>
    <w:rsid w:val="00C67CAA"/>
    <w:rsid w:val="00C70032"/>
    <w:rsid w:val="00C7173D"/>
    <w:rsid w:val="00C71746"/>
    <w:rsid w:val="00C742E1"/>
    <w:rsid w:val="00C75888"/>
    <w:rsid w:val="00C8338E"/>
    <w:rsid w:val="00C858C1"/>
    <w:rsid w:val="00C9393C"/>
    <w:rsid w:val="00CA11F0"/>
    <w:rsid w:val="00CA5314"/>
    <w:rsid w:val="00CA5A28"/>
    <w:rsid w:val="00CA66F2"/>
    <w:rsid w:val="00CA6AC7"/>
    <w:rsid w:val="00CA7C09"/>
    <w:rsid w:val="00CB1BBB"/>
    <w:rsid w:val="00CC179E"/>
    <w:rsid w:val="00CC1C5A"/>
    <w:rsid w:val="00CC4EA5"/>
    <w:rsid w:val="00CC6F8F"/>
    <w:rsid w:val="00CD43D2"/>
    <w:rsid w:val="00CD77B1"/>
    <w:rsid w:val="00CE1ADC"/>
    <w:rsid w:val="00CE781C"/>
    <w:rsid w:val="00CF3C65"/>
    <w:rsid w:val="00CF6A20"/>
    <w:rsid w:val="00D10C19"/>
    <w:rsid w:val="00D200BE"/>
    <w:rsid w:val="00D41781"/>
    <w:rsid w:val="00D44A8D"/>
    <w:rsid w:val="00D5162A"/>
    <w:rsid w:val="00D54280"/>
    <w:rsid w:val="00D6080C"/>
    <w:rsid w:val="00D62ECE"/>
    <w:rsid w:val="00D64771"/>
    <w:rsid w:val="00D716BB"/>
    <w:rsid w:val="00D83A6E"/>
    <w:rsid w:val="00D91B5E"/>
    <w:rsid w:val="00DA2B09"/>
    <w:rsid w:val="00DA2E38"/>
    <w:rsid w:val="00DA770F"/>
    <w:rsid w:val="00DB43B7"/>
    <w:rsid w:val="00DB7DCB"/>
    <w:rsid w:val="00DC2421"/>
    <w:rsid w:val="00DC3716"/>
    <w:rsid w:val="00DC43C1"/>
    <w:rsid w:val="00DC4B62"/>
    <w:rsid w:val="00DC5636"/>
    <w:rsid w:val="00DE7909"/>
    <w:rsid w:val="00DF158F"/>
    <w:rsid w:val="00DF7DDE"/>
    <w:rsid w:val="00E012C7"/>
    <w:rsid w:val="00E06CC8"/>
    <w:rsid w:val="00E12A77"/>
    <w:rsid w:val="00E15CF0"/>
    <w:rsid w:val="00E21EA7"/>
    <w:rsid w:val="00E23CAE"/>
    <w:rsid w:val="00E247AF"/>
    <w:rsid w:val="00E24A23"/>
    <w:rsid w:val="00E34D79"/>
    <w:rsid w:val="00E3585A"/>
    <w:rsid w:val="00E4747E"/>
    <w:rsid w:val="00E553AC"/>
    <w:rsid w:val="00E61846"/>
    <w:rsid w:val="00E63AC1"/>
    <w:rsid w:val="00E66486"/>
    <w:rsid w:val="00E705A4"/>
    <w:rsid w:val="00E80AD5"/>
    <w:rsid w:val="00E80BCC"/>
    <w:rsid w:val="00E8226D"/>
    <w:rsid w:val="00E86C07"/>
    <w:rsid w:val="00EA035F"/>
    <w:rsid w:val="00EA41E1"/>
    <w:rsid w:val="00EA699F"/>
    <w:rsid w:val="00EB26A8"/>
    <w:rsid w:val="00EB3227"/>
    <w:rsid w:val="00EB4986"/>
    <w:rsid w:val="00EB56B1"/>
    <w:rsid w:val="00EB71B4"/>
    <w:rsid w:val="00EC50FD"/>
    <w:rsid w:val="00EC5583"/>
    <w:rsid w:val="00ED6D32"/>
    <w:rsid w:val="00EE3002"/>
    <w:rsid w:val="00EE4BE6"/>
    <w:rsid w:val="00EE53FC"/>
    <w:rsid w:val="00EF1C39"/>
    <w:rsid w:val="00EF2589"/>
    <w:rsid w:val="00F0262D"/>
    <w:rsid w:val="00F02CBD"/>
    <w:rsid w:val="00F10715"/>
    <w:rsid w:val="00F12DDC"/>
    <w:rsid w:val="00F13D57"/>
    <w:rsid w:val="00F240AB"/>
    <w:rsid w:val="00F338FD"/>
    <w:rsid w:val="00F404F3"/>
    <w:rsid w:val="00F406E5"/>
    <w:rsid w:val="00F427E4"/>
    <w:rsid w:val="00F47522"/>
    <w:rsid w:val="00F525DD"/>
    <w:rsid w:val="00F53945"/>
    <w:rsid w:val="00F54FF9"/>
    <w:rsid w:val="00F55950"/>
    <w:rsid w:val="00F63A00"/>
    <w:rsid w:val="00F6645D"/>
    <w:rsid w:val="00F679F6"/>
    <w:rsid w:val="00F74E92"/>
    <w:rsid w:val="00F81FB1"/>
    <w:rsid w:val="00F83DAF"/>
    <w:rsid w:val="00F849A5"/>
    <w:rsid w:val="00F86CAA"/>
    <w:rsid w:val="00F97088"/>
    <w:rsid w:val="00FA0AFA"/>
    <w:rsid w:val="00FA16C3"/>
    <w:rsid w:val="00FA4572"/>
    <w:rsid w:val="00FA51F0"/>
    <w:rsid w:val="00FB0F26"/>
    <w:rsid w:val="00FB1F36"/>
    <w:rsid w:val="00FB650F"/>
    <w:rsid w:val="00FC416D"/>
    <w:rsid w:val="00FC51FD"/>
    <w:rsid w:val="00FC7588"/>
    <w:rsid w:val="00FD168E"/>
    <w:rsid w:val="00FE2EF4"/>
    <w:rsid w:val="00FF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6AC7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A6AC7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6AC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A6AC7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6AC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6AC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6AC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6AC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6AC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6AC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6AC7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A6AC7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A6AC7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6A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6A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6A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6A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6A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6A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CA6AC7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6AC7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2149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2016-08-08T14:22:00Z</dcterms:created>
  <dcterms:modified xsi:type="dcterms:W3CDTF">2016-08-08T14:23:00Z</dcterms:modified>
</cp:coreProperties>
</file>