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0C33" w:rsidRDefault="00CB0C33" w:rsidP="00CB0C33">
      <w:pPr>
        <w:pStyle w:val="berschrift2"/>
        <w:rPr>
          <w:color w:val="auto"/>
        </w:rPr>
      </w:pPr>
      <w:r>
        <w:rPr>
          <w:noProof/>
          <w:lang w:eastAsia="de-DE"/>
        </w:rPr>
        <mc:AlternateContent>
          <mc:Choice Requires="wps">
            <w:drawing>
              <wp:anchor distT="0" distB="0" distL="114300" distR="114300" simplePos="0" relativeHeight="251659264" behindDoc="0" locked="0" layoutInCell="1" allowOverlap="1" wp14:anchorId="395A1625" wp14:editId="50105485">
                <wp:simplePos x="0" y="0"/>
                <wp:positionH relativeFrom="margin">
                  <wp:posOffset>-106045</wp:posOffset>
                </wp:positionH>
                <wp:positionV relativeFrom="paragraph">
                  <wp:posOffset>500380</wp:posOffset>
                </wp:positionV>
                <wp:extent cx="5873115" cy="838200"/>
                <wp:effectExtent l="0" t="0" r="0" b="0"/>
                <wp:wrapSquare wrapText="bothSides"/>
                <wp:docPr id="3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8382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B0C33" w:rsidRPr="00F31EBF" w:rsidRDefault="00CB0C33" w:rsidP="00CB0C33">
                            <w:pPr>
                              <w:rPr>
                                <w:color w:val="auto"/>
                              </w:rPr>
                            </w:pPr>
                            <w:r>
                              <w:rPr>
                                <w:color w:val="auto"/>
                              </w:rPr>
                              <w:t xml:space="preserve">Bei diesem Versuch werden unterschiedliche Metallpulver in der Brennerflamme verbrannt. Dabei kann anhand der Heftigkeit der Reaktion eine Aussage über die Affinität des jeweiligen Metalls zu Sauerstoff getroffen werden.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5A1625" id="_x0000_t202" coordsize="21600,21600" o:spt="202" path="m,l,21600r21600,l21600,xe">
                <v:stroke joinstyle="miter"/>
                <v:path gradientshapeok="t" o:connecttype="rect"/>
              </v:shapetype>
              <v:shape id="Text Box 60" o:spid="_x0000_s1026" type="#_x0000_t202" style="position:absolute;left:0;text-align:left;margin-left:-8.35pt;margin-top:39.4pt;width:462.45pt;height:6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" fillcolor="white [3201]" strokecolor="#4472c4 [3208]" strokeweight="1pt">
                <v:stroke dashstyle="dash"/>
                <v:shadow color="#868686"/>
                <v:textbox>
                  <w:txbxContent>
                    <w:p w:rsidR="00CB0C33" w:rsidRPr="00F31EBF" w:rsidRDefault="00CB0C33" w:rsidP="00CB0C33">
                      <w:pPr>
                        <w:rPr>
                          <w:color w:val="auto"/>
                        </w:rPr>
                      </w:pPr>
                      <w:r>
                        <w:rPr>
                          <w:color w:val="auto"/>
                        </w:rPr>
                        <w:t xml:space="preserve">Bei diesem Versuch werden unterschiedliche Metallpulver in der Brennerflamme verbrannt. Dabei kann anhand der Heftigkeit der Reaktion eine Aussage über die Affinität des jeweiligen Metalls zu Sauerstoff getroffen werden. </w:t>
                      </w:r>
                    </w:p>
                  </w:txbxContent>
                </v:textbox>
                <w10:wrap type="square" anchorx="margin"/>
              </v:shape>
            </w:pict>
          </mc:Fallback>
        </mc:AlternateContent>
      </w:r>
      <w:bookmarkStart w:id="0" w:name="_Toc457567573"/>
      <w:r>
        <w:rPr>
          <w:color w:val="auto"/>
        </w:rPr>
        <w:t>V4</w:t>
      </w:r>
      <w:r w:rsidRPr="00CC307A">
        <w:rPr>
          <w:color w:val="auto"/>
        </w:rPr>
        <w:t xml:space="preserve"> – </w:t>
      </w:r>
      <w:r>
        <w:rPr>
          <w:color w:val="auto"/>
        </w:rPr>
        <w:t>Flammenfarben</w:t>
      </w:r>
      <w:bookmarkStart w:id="1" w:name="_GoBack"/>
      <w:bookmarkEnd w:id="0"/>
      <w:bookmarkEnd w:id="1"/>
    </w:p>
    <w:p w:rsidR="00CB0C33" w:rsidRPr="00C50A31" w:rsidRDefault="00CB0C33" w:rsidP="00CB0C33"/>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CB0C33" w:rsidRPr="009C5E28" w:rsidTr="00D871BC">
        <w:tc>
          <w:tcPr>
            <w:tcW w:w="9322" w:type="dxa"/>
            <w:gridSpan w:val="9"/>
            <w:shd w:val="clear" w:color="auto" w:fill="4F81BD"/>
            <w:vAlign w:val="center"/>
          </w:tcPr>
          <w:p w:rsidR="00CB0C33" w:rsidRPr="00752AF3" w:rsidRDefault="00CB0C33" w:rsidP="00D871BC">
            <w:pPr>
              <w:spacing w:after="0"/>
              <w:jc w:val="center"/>
              <w:rPr>
                <w:b/>
                <w:bCs/>
                <w:color w:val="FFFFFF" w:themeColor="background1"/>
              </w:rPr>
            </w:pPr>
            <w:r w:rsidRPr="00752AF3">
              <w:rPr>
                <w:b/>
                <w:bCs/>
                <w:color w:val="FFFFFF" w:themeColor="background1"/>
              </w:rPr>
              <w:t>Gefahrenstoffe</w:t>
            </w:r>
          </w:p>
        </w:tc>
      </w:tr>
      <w:tr w:rsidR="00CB0C33" w:rsidRPr="009C5E28" w:rsidTr="00D871BC">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CB0C33" w:rsidRDefault="00CB0C33" w:rsidP="00D871BC">
            <w:pPr>
              <w:spacing w:after="0" w:line="276" w:lineRule="auto"/>
              <w:jc w:val="center"/>
            </w:pPr>
            <w:r>
              <w:t>Zinkoxid</w:t>
            </w:r>
          </w:p>
        </w:tc>
        <w:tc>
          <w:tcPr>
            <w:tcW w:w="3177" w:type="dxa"/>
            <w:gridSpan w:val="3"/>
            <w:tcBorders>
              <w:top w:val="single" w:sz="8" w:space="0" w:color="4F81BD"/>
              <w:bottom w:val="single" w:sz="8" w:space="0" w:color="4F81BD"/>
            </w:tcBorders>
            <w:shd w:val="clear" w:color="auto" w:fill="auto"/>
            <w:vAlign w:val="center"/>
          </w:tcPr>
          <w:p w:rsidR="00CB0C33" w:rsidRPr="00752AF3" w:rsidRDefault="00CB0C33" w:rsidP="00D871BC">
            <w:pPr>
              <w:spacing w:after="0"/>
              <w:jc w:val="center"/>
            </w:pPr>
            <w:r>
              <w:t>H: 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CB0C33" w:rsidRPr="00752AF3" w:rsidRDefault="00CB0C33" w:rsidP="00D871BC">
            <w:pPr>
              <w:spacing w:after="0"/>
              <w:jc w:val="center"/>
            </w:pPr>
            <w:r>
              <w:t>P: 273</w:t>
            </w:r>
          </w:p>
        </w:tc>
      </w:tr>
      <w:tr w:rsidR="00CB0C33" w:rsidRPr="009C5E28" w:rsidTr="00D871BC">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CB0C33" w:rsidRDefault="00CB0C33" w:rsidP="00D871BC">
            <w:pPr>
              <w:spacing w:after="0" w:line="276" w:lineRule="auto"/>
              <w:jc w:val="center"/>
            </w:pPr>
            <w:r>
              <w:t>Eisenoxid</w:t>
            </w:r>
          </w:p>
        </w:tc>
        <w:tc>
          <w:tcPr>
            <w:tcW w:w="3177" w:type="dxa"/>
            <w:gridSpan w:val="3"/>
            <w:tcBorders>
              <w:top w:val="single" w:sz="8" w:space="0" w:color="4F81BD"/>
              <w:bottom w:val="single" w:sz="8" w:space="0" w:color="4F81BD"/>
            </w:tcBorders>
            <w:shd w:val="clear" w:color="auto" w:fill="auto"/>
            <w:vAlign w:val="center"/>
          </w:tcPr>
          <w:p w:rsidR="00CB0C33" w:rsidRDefault="00CB0C33" w:rsidP="00D871BC">
            <w:pPr>
              <w:spacing w:after="0"/>
              <w:jc w:val="center"/>
            </w:pPr>
            <w: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CB0C33" w:rsidRDefault="00CB0C33" w:rsidP="00D871BC">
            <w:pPr>
              <w:spacing w:after="0"/>
              <w:jc w:val="center"/>
            </w:pPr>
            <w:r>
              <w:t>P: -</w:t>
            </w:r>
          </w:p>
        </w:tc>
      </w:tr>
      <w:tr w:rsidR="00CB0C33" w:rsidRPr="009C5E28" w:rsidTr="00D871BC">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CB0C33" w:rsidRPr="00041A96" w:rsidRDefault="00CB0C33" w:rsidP="00D871BC">
            <w:pPr>
              <w:spacing w:after="0" w:line="276" w:lineRule="auto"/>
              <w:jc w:val="center"/>
            </w:pPr>
            <w:r w:rsidRPr="00752AF3">
              <w:t>Kupferoxid</w:t>
            </w:r>
            <w:r>
              <w:t xml:space="preserve"> </w:t>
            </w:r>
          </w:p>
        </w:tc>
        <w:tc>
          <w:tcPr>
            <w:tcW w:w="3177" w:type="dxa"/>
            <w:gridSpan w:val="3"/>
            <w:tcBorders>
              <w:top w:val="single" w:sz="8" w:space="0" w:color="4F81BD"/>
              <w:bottom w:val="single" w:sz="8" w:space="0" w:color="4F81BD"/>
            </w:tcBorders>
            <w:shd w:val="clear" w:color="auto" w:fill="auto"/>
            <w:vAlign w:val="center"/>
          </w:tcPr>
          <w:p w:rsidR="00CB0C33" w:rsidRPr="00752AF3" w:rsidRDefault="00CB0C33" w:rsidP="00D871BC">
            <w:pPr>
              <w:spacing w:after="0"/>
              <w:jc w:val="center"/>
            </w:pPr>
            <w:r w:rsidRPr="00752AF3">
              <w:t>H: 302-410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CB0C33" w:rsidRPr="00752AF3" w:rsidRDefault="00CB0C33" w:rsidP="00D871BC">
            <w:pPr>
              <w:spacing w:after="0"/>
              <w:jc w:val="center"/>
            </w:pPr>
            <w:r w:rsidRPr="00752AF3">
              <w:t xml:space="preserve">P: </w:t>
            </w:r>
            <w:r>
              <w:t>264-270-273-301+312-330-501,1</w:t>
            </w:r>
          </w:p>
        </w:tc>
      </w:tr>
      <w:tr w:rsidR="00CB0C33" w:rsidRPr="009C5E28" w:rsidTr="00D871BC">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CB0C33" w:rsidRPr="00752AF3" w:rsidRDefault="00CB0C33" w:rsidP="00D871BC">
            <w:pPr>
              <w:spacing w:after="0" w:line="276" w:lineRule="auto"/>
              <w:jc w:val="center"/>
            </w:pPr>
            <w:r>
              <w:t>Zink</w:t>
            </w:r>
          </w:p>
        </w:tc>
        <w:tc>
          <w:tcPr>
            <w:tcW w:w="3177" w:type="dxa"/>
            <w:gridSpan w:val="3"/>
            <w:tcBorders>
              <w:top w:val="single" w:sz="8" w:space="0" w:color="4F81BD"/>
              <w:bottom w:val="single" w:sz="8" w:space="0" w:color="4F81BD"/>
            </w:tcBorders>
            <w:shd w:val="clear" w:color="auto" w:fill="auto"/>
            <w:vAlign w:val="center"/>
          </w:tcPr>
          <w:p w:rsidR="00CB0C33" w:rsidRPr="00752AF3" w:rsidRDefault="00CB0C33" w:rsidP="00D871BC">
            <w:pPr>
              <w:spacing w:after="0"/>
              <w:jc w:val="center"/>
            </w:pPr>
            <w:r w:rsidRPr="00752AF3">
              <w:t xml:space="preserve">H: </w:t>
            </w:r>
            <w:r>
              <w:t>260-250-410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CB0C33" w:rsidRPr="00752AF3" w:rsidRDefault="00CB0C33" w:rsidP="00D871BC">
            <w:pPr>
              <w:spacing w:after="0"/>
              <w:jc w:val="center"/>
            </w:pPr>
            <w:r w:rsidRPr="00752AF3">
              <w:t xml:space="preserve">P: </w:t>
            </w:r>
            <w:r>
              <w:t>222-223-231+232-273-370+378-422</w:t>
            </w:r>
          </w:p>
        </w:tc>
      </w:tr>
      <w:tr w:rsidR="00CB0C33" w:rsidRPr="009C5E28" w:rsidTr="00D871BC">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CB0C33" w:rsidRPr="00752AF3" w:rsidRDefault="00CB0C33" w:rsidP="00D871BC">
            <w:pPr>
              <w:spacing w:after="0" w:line="276" w:lineRule="auto"/>
              <w:jc w:val="center"/>
            </w:pPr>
            <w:r>
              <w:t>Eisen</w:t>
            </w:r>
          </w:p>
        </w:tc>
        <w:tc>
          <w:tcPr>
            <w:tcW w:w="3177" w:type="dxa"/>
            <w:gridSpan w:val="3"/>
            <w:tcBorders>
              <w:top w:val="single" w:sz="8" w:space="0" w:color="4F81BD"/>
              <w:bottom w:val="single" w:sz="8" w:space="0" w:color="4F81BD"/>
            </w:tcBorders>
            <w:shd w:val="clear" w:color="auto" w:fill="auto"/>
            <w:vAlign w:val="center"/>
          </w:tcPr>
          <w:p w:rsidR="00CB0C33" w:rsidRPr="00752AF3" w:rsidRDefault="00CB0C33" w:rsidP="00D871BC">
            <w:pPr>
              <w:spacing w:after="0"/>
              <w:jc w:val="center"/>
            </w:pPr>
            <w: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CB0C33" w:rsidRPr="00752AF3" w:rsidRDefault="00CB0C33" w:rsidP="00D871BC">
            <w:pPr>
              <w:spacing w:after="0"/>
              <w:jc w:val="center"/>
            </w:pPr>
            <w:r>
              <w:t>P: -</w:t>
            </w:r>
          </w:p>
        </w:tc>
      </w:tr>
      <w:tr w:rsidR="00CB0C33" w:rsidRPr="009C5E28" w:rsidTr="00D871BC">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CB0C33" w:rsidRPr="00752AF3" w:rsidRDefault="00CB0C33" w:rsidP="00D871BC">
            <w:pPr>
              <w:spacing w:after="0" w:line="276" w:lineRule="auto"/>
              <w:jc w:val="center"/>
            </w:pPr>
            <w:r w:rsidRPr="00752AF3">
              <w:t>Kupfer</w:t>
            </w:r>
          </w:p>
        </w:tc>
        <w:tc>
          <w:tcPr>
            <w:tcW w:w="3177" w:type="dxa"/>
            <w:gridSpan w:val="3"/>
            <w:tcBorders>
              <w:top w:val="single" w:sz="8" w:space="0" w:color="4F81BD"/>
              <w:bottom w:val="single" w:sz="8" w:space="0" w:color="4F81BD"/>
            </w:tcBorders>
            <w:shd w:val="clear" w:color="auto" w:fill="auto"/>
            <w:vAlign w:val="center"/>
          </w:tcPr>
          <w:p w:rsidR="00CB0C33" w:rsidRPr="00752AF3" w:rsidRDefault="00CB0C33" w:rsidP="00D871BC">
            <w:pPr>
              <w:spacing w:after="0"/>
              <w:jc w:val="center"/>
            </w:pPr>
            <w:r w:rsidRPr="00752AF3">
              <w:t>H: 228-410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CB0C33" w:rsidRPr="00752AF3" w:rsidRDefault="00CB0C33" w:rsidP="00D871BC">
            <w:pPr>
              <w:spacing w:after="0"/>
              <w:jc w:val="center"/>
            </w:pPr>
            <w:r w:rsidRPr="00752AF3">
              <w:t>P: 210-273-501</w:t>
            </w:r>
          </w:p>
        </w:tc>
      </w:tr>
      <w:tr w:rsidR="00CB0C33" w:rsidRPr="009C5E28" w:rsidTr="00D871BC">
        <w:tc>
          <w:tcPr>
            <w:tcW w:w="1009" w:type="dxa"/>
            <w:tcBorders>
              <w:top w:val="single" w:sz="8" w:space="0" w:color="4F81BD"/>
              <w:left w:val="single" w:sz="8" w:space="0" w:color="4F81BD"/>
              <w:bottom w:val="single" w:sz="8" w:space="0" w:color="4F81BD"/>
            </w:tcBorders>
            <w:shd w:val="clear" w:color="auto" w:fill="auto"/>
            <w:vAlign w:val="center"/>
          </w:tcPr>
          <w:p w:rsidR="00CB0C33" w:rsidRPr="009C5E28" w:rsidRDefault="00CB0C33" w:rsidP="00D871BC">
            <w:pPr>
              <w:spacing w:after="0"/>
              <w:jc w:val="center"/>
              <w:rPr>
                <w:b/>
                <w:bCs/>
              </w:rPr>
            </w:pPr>
            <w:r>
              <w:rPr>
                <w:b/>
                <w:noProof/>
                <w:lang w:eastAsia="de-DE"/>
              </w:rPr>
              <w:drawing>
                <wp:inline distT="0" distB="0" distL="0" distR="0" wp14:anchorId="1D874C4F" wp14:editId="6A872BF1">
                  <wp:extent cx="504190" cy="504190"/>
                  <wp:effectExtent l="0" t="0" r="0" b="0"/>
                  <wp:docPr id="1"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5"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B0C33" w:rsidRPr="009C5E28" w:rsidRDefault="00CB0C33" w:rsidP="00D871BC">
            <w:pPr>
              <w:spacing w:after="0"/>
              <w:jc w:val="center"/>
            </w:pPr>
            <w:r>
              <w:rPr>
                <w:noProof/>
                <w:lang w:eastAsia="de-DE"/>
              </w:rPr>
              <w:drawing>
                <wp:inline distT="0" distB="0" distL="0" distR="0" wp14:anchorId="5EADB40F" wp14:editId="48E198C9">
                  <wp:extent cx="504190" cy="504190"/>
                  <wp:effectExtent l="0" t="0" r="0" b="0"/>
                  <wp:docPr id="13"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6"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B0C33" w:rsidRPr="009C5E28" w:rsidRDefault="00CB0C33" w:rsidP="00D871BC">
            <w:pPr>
              <w:spacing w:after="0"/>
              <w:jc w:val="center"/>
            </w:pPr>
            <w:r>
              <w:rPr>
                <w:noProof/>
                <w:lang w:eastAsia="de-DE"/>
              </w:rPr>
              <w:drawing>
                <wp:inline distT="0" distB="0" distL="0" distR="0" wp14:anchorId="11AF4218" wp14:editId="0B875BDA">
                  <wp:extent cx="504190" cy="504190"/>
                  <wp:effectExtent l="0" t="0" r="0" b="0"/>
                  <wp:docPr id="22"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7"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B0C33" w:rsidRPr="009C5E28" w:rsidRDefault="00CB0C33" w:rsidP="00D871BC">
            <w:pPr>
              <w:spacing w:after="0"/>
              <w:jc w:val="center"/>
            </w:pPr>
            <w:r>
              <w:rPr>
                <w:noProof/>
                <w:lang w:eastAsia="de-DE"/>
              </w:rPr>
              <w:drawing>
                <wp:inline distT="0" distB="0" distL="0" distR="0" wp14:anchorId="62DB7875" wp14:editId="18A91E89">
                  <wp:extent cx="504190" cy="504190"/>
                  <wp:effectExtent l="0" t="0" r="0" b="0"/>
                  <wp:docPr id="23"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8" cstate="prin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CB0C33" w:rsidRPr="009C5E28" w:rsidRDefault="00CB0C33" w:rsidP="00D871BC">
            <w:pPr>
              <w:spacing w:after="0"/>
              <w:jc w:val="center"/>
            </w:pPr>
            <w:r>
              <w:rPr>
                <w:noProof/>
                <w:lang w:eastAsia="de-DE"/>
              </w:rPr>
              <w:drawing>
                <wp:inline distT="0" distB="0" distL="0" distR="0" wp14:anchorId="2B05352E" wp14:editId="01D5DD29">
                  <wp:extent cx="504190" cy="504190"/>
                  <wp:effectExtent l="0" t="0" r="0" b="0"/>
                  <wp:docPr id="26"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9" cstate="prin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CB0C33" w:rsidRPr="009C5E28" w:rsidRDefault="00CB0C33" w:rsidP="00D871BC">
            <w:pPr>
              <w:spacing w:after="0"/>
              <w:jc w:val="center"/>
            </w:pPr>
            <w:r>
              <w:rPr>
                <w:noProof/>
                <w:lang w:eastAsia="de-DE"/>
              </w:rPr>
              <w:drawing>
                <wp:inline distT="0" distB="0" distL="0" distR="0" wp14:anchorId="04923142" wp14:editId="77786FC4">
                  <wp:extent cx="504190" cy="504190"/>
                  <wp:effectExtent l="0" t="0" r="0" b="0"/>
                  <wp:docPr id="27"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0" cstate="prin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CB0C33" w:rsidRPr="009C5E28" w:rsidRDefault="00CB0C33" w:rsidP="00D871BC">
            <w:pPr>
              <w:spacing w:after="0"/>
              <w:jc w:val="center"/>
            </w:pPr>
            <w:r>
              <w:rPr>
                <w:noProof/>
                <w:lang w:eastAsia="de-DE"/>
              </w:rPr>
              <w:drawing>
                <wp:inline distT="0" distB="0" distL="0" distR="0" wp14:anchorId="6264AB47" wp14:editId="4B0BA1E0">
                  <wp:extent cx="504190" cy="504190"/>
                  <wp:effectExtent l="0" t="0" r="0" b="0"/>
                  <wp:docPr id="28"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1"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B0C33" w:rsidRPr="009C5E28" w:rsidRDefault="00CB0C33" w:rsidP="00D871BC">
            <w:pPr>
              <w:spacing w:after="0"/>
              <w:jc w:val="center"/>
            </w:pPr>
            <w:r>
              <w:rPr>
                <w:noProof/>
                <w:lang w:eastAsia="de-DE"/>
              </w:rPr>
              <w:drawing>
                <wp:inline distT="0" distB="0" distL="0" distR="0" wp14:anchorId="184DFB79" wp14:editId="02B5166B">
                  <wp:extent cx="511175" cy="511175"/>
                  <wp:effectExtent l="0" t="0" r="3175" b="3175"/>
                  <wp:docPr id="29"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2" cstate="prin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CB0C33" w:rsidRPr="009C5E28" w:rsidRDefault="00CB0C33" w:rsidP="00D871BC">
            <w:pPr>
              <w:spacing w:after="0"/>
              <w:jc w:val="center"/>
            </w:pPr>
            <w:r>
              <w:rPr>
                <w:noProof/>
                <w:lang w:eastAsia="de-DE"/>
              </w:rPr>
              <w:drawing>
                <wp:inline distT="0" distB="0" distL="0" distR="0" wp14:anchorId="7829C8F4" wp14:editId="760F40C9">
                  <wp:extent cx="504190" cy="504190"/>
                  <wp:effectExtent l="0" t="0" r="0" b="0"/>
                  <wp:docPr id="30"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3" cstate="print"/>
                          <a:stretch>
                            <a:fillRect/>
                          </a:stretch>
                        </pic:blipFill>
                        <pic:spPr bwMode="auto">
                          <a:xfrm>
                            <a:off x="0" y="0"/>
                            <a:ext cx="504190" cy="504190"/>
                          </a:xfrm>
                          <a:prstGeom prst="rect">
                            <a:avLst/>
                          </a:prstGeom>
                          <a:noFill/>
                          <a:ln>
                            <a:noFill/>
                          </a:ln>
                        </pic:spPr>
                      </pic:pic>
                    </a:graphicData>
                  </a:graphic>
                </wp:inline>
              </w:drawing>
            </w:r>
          </w:p>
        </w:tc>
      </w:tr>
    </w:tbl>
    <w:p w:rsidR="00CB0C33" w:rsidRDefault="00CB0C33" w:rsidP="00CB0C33">
      <w:pPr>
        <w:rPr>
          <w:color w:val="auto"/>
        </w:rPr>
      </w:pPr>
    </w:p>
    <w:p w:rsidR="00CB0C33" w:rsidRDefault="00CB0C33" w:rsidP="00CB0C33">
      <w:pPr>
        <w:rPr>
          <w:color w:val="auto"/>
        </w:rPr>
      </w:pPr>
      <w:r>
        <w:rPr>
          <w:color w:val="auto"/>
        </w:rPr>
        <w:t>Materialien:</w:t>
      </w:r>
      <w:r>
        <w:rPr>
          <w:color w:val="auto"/>
        </w:rPr>
        <w:tab/>
      </w:r>
      <w:r>
        <w:rPr>
          <w:color w:val="auto"/>
        </w:rPr>
        <w:tab/>
        <w:t>Gasbrenner, Stativ und Klemmen, Magnesiarinne, feuerfeste Unterlage</w:t>
      </w:r>
    </w:p>
    <w:p w:rsidR="00CB0C33" w:rsidRDefault="00CB0C33" w:rsidP="00CB0C33">
      <w:pPr>
        <w:rPr>
          <w:color w:val="auto"/>
        </w:rPr>
      </w:pPr>
      <w:r>
        <w:rPr>
          <w:color w:val="auto"/>
        </w:rPr>
        <w:t>Chemikalien:</w:t>
      </w:r>
      <w:r>
        <w:rPr>
          <w:color w:val="auto"/>
        </w:rPr>
        <w:tab/>
      </w:r>
      <w:r>
        <w:rPr>
          <w:color w:val="auto"/>
        </w:rPr>
        <w:tab/>
        <w:t>Zinkpulver, Eisenpulver, Kupferpulver</w:t>
      </w:r>
    </w:p>
    <w:p w:rsidR="00CB0C33" w:rsidRDefault="00CB0C33" w:rsidP="00CB0C33">
      <w:pPr>
        <w:ind w:left="2124" w:hanging="2124"/>
        <w:rPr>
          <w:color w:val="auto"/>
        </w:rPr>
      </w:pPr>
      <w:r>
        <w:rPr>
          <w:color w:val="auto"/>
        </w:rPr>
        <w:t>Durchführung:</w:t>
      </w:r>
      <w:r>
        <w:rPr>
          <w:color w:val="auto"/>
        </w:rPr>
        <w:tab/>
        <w:t xml:space="preserve">Der Gasbrenner wird mithilfe von Stativklemmen über einer feuerfesten Unterlage waagerecht eingespannt, um eine Verschmutzung des Brenners durch Metallstaub zu vermeiden. Anschließend wird eine kleine Menge eines Metallpulvers auf die Magnesiarinne gegeben und vorsichtig in die Flamme gerieselt. Dieser Vorgang wird mit allen Metallen wiederholt. </w:t>
      </w:r>
    </w:p>
    <w:p w:rsidR="00CB0C33" w:rsidRDefault="00CB0C33" w:rsidP="00CB0C33">
      <w:pPr>
        <w:ind w:left="2124" w:hanging="2124"/>
        <w:rPr>
          <w:color w:val="auto"/>
        </w:rPr>
      </w:pPr>
      <w:r>
        <w:rPr>
          <w:color w:val="auto"/>
        </w:rPr>
        <w:t>Beobachtung:</w:t>
      </w:r>
      <w:r>
        <w:rPr>
          <w:color w:val="auto"/>
        </w:rPr>
        <w:tab/>
        <w:t>Bei Zink ist eine helle, bläuliche Flamme zu beobachten. Bei Eisen orange-weiße Funken und bei Kupfer eine grünliche Flamme.</w:t>
      </w:r>
    </w:p>
    <w:p w:rsidR="00CB0C33" w:rsidRDefault="00CB0C33" w:rsidP="00CB0C33">
      <w:pPr>
        <w:ind w:left="2124" w:hanging="2124"/>
        <w:rPr>
          <w:color w:val="auto"/>
        </w:rPr>
      </w:pPr>
      <w:r>
        <w:rPr>
          <w:noProof/>
          <w:color w:val="auto"/>
          <w:lang w:eastAsia="de-DE"/>
        </w:rPr>
        <w:lastRenderedPageBreak/>
        <w:t>,</w:t>
      </w:r>
      <w:r>
        <w:rPr>
          <w:noProof/>
          <w:color w:val="auto"/>
          <w:lang w:eastAsia="de-DE"/>
        </w:rPr>
        <w:drawing>
          <wp:inline distT="0" distB="0" distL="0" distR="0" wp14:anchorId="4235516F" wp14:editId="1281F741">
            <wp:extent cx="2066572" cy="1657350"/>
            <wp:effectExtent l="19050" t="0" r="0" b="0"/>
            <wp:docPr id="52" name="Bild 12" descr="C:\Users\Kasperle\Desktop\SVP\SVP Chemie\Klassischer Redoxbegriff\Zinkflamme Schni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sperle\Desktop\SVP\SVP Chemie\Klassischer Redoxbegriff\Zinkflamme Schnitt.png"/>
                    <pic:cNvPicPr>
                      <a:picLocks noChangeAspect="1" noChangeArrowheads="1"/>
                    </pic:cNvPicPr>
                  </pic:nvPicPr>
                  <pic:blipFill>
                    <a:blip r:embed="rId14" cstate="print"/>
                    <a:srcRect/>
                    <a:stretch>
                      <a:fillRect/>
                    </a:stretch>
                  </pic:blipFill>
                  <pic:spPr bwMode="auto">
                    <a:xfrm>
                      <a:off x="0" y="0"/>
                      <a:ext cx="2066732" cy="1657478"/>
                    </a:xfrm>
                    <a:prstGeom prst="rect">
                      <a:avLst/>
                    </a:prstGeom>
                    <a:noFill/>
                    <a:ln w="9525">
                      <a:noFill/>
                      <a:miter lim="800000"/>
                      <a:headEnd/>
                      <a:tailEnd/>
                    </a:ln>
                  </pic:spPr>
                </pic:pic>
              </a:graphicData>
            </a:graphic>
          </wp:inline>
        </w:drawing>
      </w:r>
      <w:r>
        <w:rPr>
          <w:noProof/>
          <w:color w:val="auto"/>
          <w:lang w:eastAsia="de-DE"/>
        </w:rPr>
        <w:drawing>
          <wp:inline distT="0" distB="0" distL="0" distR="0" wp14:anchorId="1EF7299E" wp14:editId="0B04644C">
            <wp:extent cx="2065967" cy="1657350"/>
            <wp:effectExtent l="19050" t="0" r="0" b="0"/>
            <wp:docPr id="54" name="Bild 13" descr="C:\Users\Kasperle\Desktop\SVP\SVP Chemie\Klassischer Redoxbegriff\eisenflamme Schni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sperle\Desktop\SVP\SVP Chemie\Klassischer Redoxbegriff\eisenflamme Schnitt.png"/>
                    <pic:cNvPicPr>
                      <a:picLocks noChangeAspect="1" noChangeArrowheads="1"/>
                    </pic:cNvPicPr>
                  </pic:nvPicPr>
                  <pic:blipFill>
                    <a:blip r:embed="rId15" cstate="print"/>
                    <a:srcRect/>
                    <a:stretch>
                      <a:fillRect/>
                    </a:stretch>
                  </pic:blipFill>
                  <pic:spPr bwMode="auto">
                    <a:xfrm>
                      <a:off x="0" y="0"/>
                      <a:ext cx="2066733" cy="1657965"/>
                    </a:xfrm>
                    <a:prstGeom prst="rect">
                      <a:avLst/>
                    </a:prstGeom>
                    <a:noFill/>
                    <a:ln w="9525">
                      <a:noFill/>
                      <a:miter lim="800000"/>
                      <a:headEnd/>
                      <a:tailEnd/>
                    </a:ln>
                  </pic:spPr>
                </pic:pic>
              </a:graphicData>
            </a:graphic>
          </wp:inline>
        </w:drawing>
      </w:r>
      <w:r>
        <w:rPr>
          <w:noProof/>
          <w:color w:val="auto"/>
          <w:lang w:eastAsia="de-DE"/>
        </w:rPr>
        <w:drawing>
          <wp:inline distT="0" distB="0" distL="0" distR="0" wp14:anchorId="42887F8A" wp14:editId="0991B95D">
            <wp:extent cx="1513602" cy="1666351"/>
            <wp:effectExtent l="19050" t="0" r="0" b="0"/>
            <wp:docPr id="55" name="Bild 14" descr="C:\Users\Kasperle\Desktop\SVP\SVP Chemie\Klassischer Redoxbegriff\Kupferflamme Schni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sperle\Desktop\SVP\SVP Chemie\Klassischer Redoxbegriff\Kupferflamme Schnitt.png"/>
                    <pic:cNvPicPr>
                      <a:picLocks noChangeAspect="1" noChangeArrowheads="1"/>
                    </pic:cNvPicPr>
                  </pic:nvPicPr>
                  <pic:blipFill>
                    <a:blip r:embed="rId16" cstate="print"/>
                    <a:srcRect/>
                    <a:stretch>
                      <a:fillRect/>
                    </a:stretch>
                  </pic:blipFill>
                  <pic:spPr bwMode="auto">
                    <a:xfrm>
                      <a:off x="0" y="0"/>
                      <a:ext cx="1515240" cy="1668155"/>
                    </a:xfrm>
                    <a:prstGeom prst="rect">
                      <a:avLst/>
                    </a:prstGeom>
                    <a:noFill/>
                    <a:ln w="9525">
                      <a:noFill/>
                      <a:miter lim="800000"/>
                      <a:headEnd/>
                      <a:tailEnd/>
                    </a:ln>
                  </pic:spPr>
                </pic:pic>
              </a:graphicData>
            </a:graphic>
          </wp:inline>
        </w:drawing>
      </w:r>
    </w:p>
    <w:p w:rsidR="00CB0C33" w:rsidRPr="00F04A18" w:rsidRDefault="00CB0C33" w:rsidP="00CB0C33">
      <w:pPr>
        <w:ind w:left="2124" w:hanging="2124"/>
        <w:jc w:val="center"/>
        <w:rPr>
          <w:color w:val="auto"/>
          <w:sz w:val="18"/>
          <w:szCs w:val="18"/>
        </w:rPr>
      </w:pPr>
      <w:r>
        <w:rPr>
          <w:color w:val="auto"/>
          <w:sz w:val="18"/>
          <w:szCs w:val="18"/>
        </w:rPr>
        <w:t>Abb. 5: Zink Verbrennung (links), Eisenverbrennung (Mitte), Kupferverbrennung (rechts)</w:t>
      </w:r>
    </w:p>
    <w:p w:rsidR="00CB0C33" w:rsidRDefault="00CB0C33" w:rsidP="00CB0C33">
      <w:pPr>
        <w:ind w:left="2124" w:hanging="2124"/>
        <w:rPr>
          <w:color w:val="auto"/>
        </w:rPr>
      </w:pPr>
      <w:r>
        <w:rPr>
          <w:color w:val="auto"/>
        </w:rPr>
        <w:t>Deutung:</w:t>
      </w:r>
      <w:r>
        <w:rPr>
          <w:color w:val="auto"/>
        </w:rPr>
        <w:tab/>
        <w:t>Die Unterschiede in der Heftigkeit der Reaktionen lässt sich durch die unterschiedliche Affinität der Metalle zu Sauerstoff erklären. Je höher die Affinität, desto mehr Energie wird bei der Reaktion freigesetzt. Folgende Reaktionen laufen ab:</w:t>
      </w:r>
    </w:p>
    <w:p w:rsidR="00CB0C33" w:rsidRPr="00F800E1" w:rsidRDefault="00CB0C33" w:rsidP="00CB0C33">
      <w:pPr>
        <w:ind w:left="2124" w:hanging="2124"/>
        <w:rPr>
          <w:rFonts w:eastAsiaTheme="minorEastAsia"/>
          <w:color w:val="auto"/>
        </w:rPr>
      </w:pPr>
      <w:r>
        <w:rPr>
          <w:color w:val="auto"/>
        </w:rPr>
        <w:tab/>
      </w:r>
      <m:oMath>
        <m:sSub>
          <m:sSubPr>
            <m:ctrlPr>
              <w:rPr>
                <w:rFonts w:ascii="Cambria Math" w:hAnsi="Cambria Math"/>
                <w:i/>
                <w:color w:val="auto"/>
              </w:rPr>
            </m:ctrlPr>
          </m:sSubPr>
          <m:e>
            <m:r>
              <w:rPr>
                <w:rFonts w:ascii="Cambria Math" w:hAnsi="Cambria Math"/>
                <w:color w:val="auto"/>
              </w:rPr>
              <m:t>4 Fe</m:t>
            </m:r>
          </m:e>
          <m:sub>
            <m:r>
              <w:rPr>
                <w:rFonts w:ascii="Cambria Math" w:hAnsi="Cambria Math"/>
                <w:color w:val="auto"/>
              </w:rPr>
              <m:t>(s)</m:t>
            </m:r>
          </m:sub>
        </m:sSub>
        <m:r>
          <w:rPr>
            <w:rFonts w:ascii="Cambria Math" w:hAnsi="Cambria Math"/>
            <w:color w:val="auto"/>
          </w:rPr>
          <m:t xml:space="preserve">+ </m:t>
        </m:r>
        <m:sSub>
          <m:sSubPr>
            <m:ctrlPr>
              <w:rPr>
                <w:rFonts w:ascii="Cambria Math" w:hAnsi="Cambria Math"/>
                <w:i/>
                <w:color w:val="auto"/>
              </w:rPr>
            </m:ctrlPr>
          </m:sSubPr>
          <m:e>
            <m:r>
              <w:rPr>
                <w:rFonts w:ascii="Cambria Math" w:hAnsi="Cambria Math"/>
                <w:color w:val="auto"/>
              </w:rPr>
              <m:t>3 O</m:t>
            </m:r>
          </m:e>
          <m:sub>
            <m:r>
              <w:rPr>
                <w:rFonts w:ascii="Cambria Math" w:hAnsi="Cambria Math"/>
                <w:color w:val="auto"/>
              </w:rPr>
              <m:t xml:space="preserve">2 </m:t>
            </m:r>
            <m:d>
              <m:dPr>
                <m:ctrlPr>
                  <w:rPr>
                    <w:rFonts w:ascii="Cambria Math" w:hAnsi="Cambria Math"/>
                    <w:i/>
                    <w:color w:val="auto"/>
                  </w:rPr>
                </m:ctrlPr>
              </m:dPr>
              <m:e>
                <m:r>
                  <w:rPr>
                    <w:rFonts w:ascii="Cambria Math" w:hAnsi="Cambria Math"/>
                    <w:color w:val="auto"/>
                  </w:rPr>
                  <m:t>g</m:t>
                </m:r>
              </m:e>
            </m:d>
          </m:sub>
        </m:sSub>
        <m:r>
          <w:rPr>
            <w:rFonts w:ascii="Cambria Math" w:hAnsi="Cambria Math"/>
            <w:color w:val="auto"/>
          </w:rPr>
          <m:t xml:space="preserve"> → </m:t>
        </m:r>
        <m:sSub>
          <m:sSubPr>
            <m:ctrlPr>
              <w:rPr>
                <w:rFonts w:ascii="Cambria Math" w:hAnsi="Cambria Math"/>
                <w:i/>
                <w:color w:val="auto"/>
              </w:rPr>
            </m:ctrlPr>
          </m:sSubPr>
          <m:e>
            <m:r>
              <w:rPr>
                <w:rFonts w:ascii="Cambria Math" w:hAnsi="Cambria Math"/>
                <w:color w:val="auto"/>
              </w:rPr>
              <m:t>2 Fe</m:t>
            </m:r>
          </m:e>
          <m:sub>
            <m:r>
              <w:rPr>
                <w:rFonts w:ascii="Cambria Math" w:hAnsi="Cambria Math"/>
                <w:color w:val="auto"/>
              </w:rPr>
              <m:t>2</m:t>
            </m:r>
          </m:sub>
        </m:sSub>
        <m:sSub>
          <m:sSubPr>
            <m:ctrlPr>
              <w:rPr>
                <w:rFonts w:ascii="Cambria Math" w:hAnsi="Cambria Math"/>
                <w:i/>
                <w:color w:val="auto"/>
              </w:rPr>
            </m:ctrlPr>
          </m:sSubPr>
          <m:e>
            <m:r>
              <w:rPr>
                <w:rFonts w:ascii="Cambria Math" w:hAnsi="Cambria Math"/>
                <w:color w:val="auto"/>
              </w:rPr>
              <m:t>O</m:t>
            </m:r>
          </m:e>
          <m:sub>
            <m:r>
              <w:rPr>
                <w:rFonts w:ascii="Cambria Math" w:hAnsi="Cambria Math"/>
                <w:color w:val="auto"/>
              </w:rPr>
              <m:t>3 (s)</m:t>
            </m:r>
          </m:sub>
        </m:sSub>
      </m:oMath>
    </w:p>
    <w:p w:rsidR="00CB0C33" w:rsidRDefault="00CB0C33" w:rsidP="00CB0C33">
      <w:pPr>
        <w:rPr>
          <w:color w:val="auto"/>
        </w:rPr>
      </w:pPr>
      <w:r>
        <w:rPr>
          <w:color w:val="auto"/>
        </w:rPr>
        <w:tab/>
      </w:r>
      <w:r>
        <w:rPr>
          <w:color w:val="auto"/>
        </w:rPr>
        <w:tab/>
      </w:r>
      <w:r>
        <w:rPr>
          <w:color w:val="auto"/>
        </w:rPr>
        <w:tab/>
      </w:r>
      <m:oMath>
        <m:sSub>
          <m:sSubPr>
            <m:ctrlPr>
              <w:rPr>
                <w:rFonts w:ascii="Cambria Math" w:hAnsi="Cambria Math"/>
                <w:i/>
                <w:color w:val="auto"/>
              </w:rPr>
            </m:ctrlPr>
          </m:sSubPr>
          <m:e>
            <m:r>
              <w:rPr>
                <w:rFonts w:ascii="Cambria Math" w:hAnsi="Cambria Math"/>
                <w:color w:val="auto"/>
              </w:rPr>
              <m:t>2 Zn</m:t>
            </m:r>
          </m:e>
          <m:sub>
            <m:r>
              <w:rPr>
                <w:rFonts w:ascii="Cambria Math" w:hAnsi="Cambria Math"/>
                <w:color w:val="auto"/>
              </w:rPr>
              <m:t>(s)</m:t>
            </m:r>
          </m:sub>
        </m:sSub>
        <m:r>
          <w:rPr>
            <w:rFonts w:ascii="Cambria Math" w:hAnsi="Cambria Math"/>
            <w:color w:val="auto"/>
          </w:rPr>
          <m:t xml:space="preserve">+ </m:t>
        </m:r>
        <m:sSub>
          <m:sSubPr>
            <m:ctrlPr>
              <w:rPr>
                <w:rFonts w:ascii="Cambria Math" w:hAnsi="Cambria Math"/>
                <w:i/>
                <w:color w:val="auto"/>
              </w:rPr>
            </m:ctrlPr>
          </m:sSubPr>
          <m:e>
            <m:r>
              <w:rPr>
                <w:rFonts w:ascii="Cambria Math" w:hAnsi="Cambria Math"/>
                <w:color w:val="auto"/>
              </w:rPr>
              <m:t xml:space="preserve"> O</m:t>
            </m:r>
          </m:e>
          <m:sub>
            <m:r>
              <w:rPr>
                <w:rFonts w:ascii="Cambria Math" w:hAnsi="Cambria Math"/>
                <w:color w:val="auto"/>
              </w:rPr>
              <m:t xml:space="preserve">2 </m:t>
            </m:r>
            <m:d>
              <m:dPr>
                <m:ctrlPr>
                  <w:rPr>
                    <w:rFonts w:ascii="Cambria Math" w:hAnsi="Cambria Math"/>
                    <w:i/>
                    <w:color w:val="auto"/>
                  </w:rPr>
                </m:ctrlPr>
              </m:dPr>
              <m:e>
                <m:r>
                  <w:rPr>
                    <w:rFonts w:ascii="Cambria Math" w:hAnsi="Cambria Math"/>
                    <w:color w:val="auto"/>
                  </w:rPr>
                  <m:t>g</m:t>
                </m:r>
              </m:e>
            </m:d>
          </m:sub>
        </m:sSub>
        <m:r>
          <w:rPr>
            <w:rFonts w:ascii="Cambria Math" w:hAnsi="Cambria Math"/>
            <w:color w:val="auto"/>
          </w:rPr>
          <m:t xml:space="preserve"> → </m:t>
        </m:r>
        <m:sSub>
          <m:sSubPr>
            <m:ctrlPr>
              <w:rPr>
                <w:rFonts w:ascii="Cambria Math" w:hAnsi="Cambria Math"/>
                <w:i/>
                <w:color w:val="auto"/>
              </w:rPr>
            </m:ctrlPr>
          </m:sSubPr>
          <m:e>
            <m:r>
              <w:rPr>
                <w:rFonts w:ascii="Cambria Math" w:hAnsi="Cambria Math"/>
                <w:color w:val="auto"/>
              </w:rPr>
              <m:t>2 ZnO</m:t>
            </m:r>
          </m:e>
          <m:sub>
            <m:r>
              <w:rPr>
                <w:rFonts w:ascii="Cambria Math" w:hAnsi="Cambria Math"/>
                <w:color w:val="auto"/>
              </w:rPr>
              <m:t>(s)</m:t>
            </m:r>
          </m:sub>
        </m:sSub>
      </m:oMath>
    </w:p>
    <w:p w:rsidR="00CB0C33" w:rsidRDefault="00CB0C33" w:rsidP="00CB0C33">
      <w:pPr>
        <w:rPr>
          <w:rFonts w:eastAsiaTheme="minorEastAsia"/>
          <w:color w:val="auto"/>
        </w:rPr>
      </w:pPr>
      <w:r>
        <w:rPr>
          <w:color w:val="auto"/>
        </w:rPr>
        <w:tab/>
      </w:r>
      <w:r>
        <w:rPr>
          <w:color w:val="auto"/>
        </w:rPr>
        <w:tab/>
      </w:r>
      <w:r>
        <w:rPr>
          <w:color w:val="auto"/>
        </w:rPr>
        <w:tab/>
      </w:r>
      <m:oMath>
        <m:sSub>
          <m:sSubPr>
            <m:ctrlPr>
              <w:rPr>
                <w:rFonts w:ascii="Cambria Math" w:hAnsi="Cambria Math"/>
                <w:i/>
                <w:color w:val="auto"/>
              </w:rPr>
            </m:ctrlPr>
          </m:sSubPr>
          <m:e>
            <m:r>
              <w:rPr>
                <w:rFonts w:ascii="Cambria Math" w:hAnsi="Cambria Math"/>
                <w:color w:val="auto"/>
              </w:rPr>
              <m:t>2 Cu</m:t>
            </m:r>
          </m:e>
          <m:sub>
            <m:r>
              <w:rPr>
                <w:rFonts w:ascii="Cambria Math" w:hAnsi="Cambria Math"/>
                <w:color w:val="auto"/>
              </w:rPr>
              <m:t>(s)</m:t>
            </m:r>
          </m:sub>
        </m:sSub>
        <m:r>
          <w:rPr>
            <w:rFonts w:ascii="Cambria Math" w:hAnsi="Cambria Math"/>
            <w:color w:val="auto"/>
          </w:rPr>
          <m:t xml:space="preserve">+ </m:t>
        </m:r>
        <m:sSub>
          <m:sSubPr>
            <m:ctrlPr>
              <w:rPr>
                <w:rFonts w:ascii="Cambria Math" w:hAnsi="Cambria Math"/>
                <w:i/>
                <w:color w:val="auto"/>
              </w:rPr>
            </m:ctrlPr>
          </m:sSubPr>
          <m:e>
            <m:r>
              <w:rPr>
                <w:rFonts w:ascii="Cambria Math" w:hAnsi="Cambria Math"/>
                <w:color w:val="auto"/>
              </w:rPr>
              <m:t xml:space="preserve"> O</m:t>
            </m:r>
          </m:e>
          <m:sub>
            <m:r>
              <w:rPr>
                <w:rFonts w:ascii="Cambria Math" w:hAnsi="Cambria Math"/>
                <w:color w:val="auto"/>
              </w:rPr>
              <m:t xml:space="preserve">2 </m:t>
            </m:r>
            <m:d>
              <m:dPr>
                <m:ctrlPr>
                  <w:rPr>
                    <w:rFonts w:ascii="Cambria Math" w:hAnsi="Cambria Math"/>
                    <w:i/>
                    <w:color w:val="auto"/>
                  </w:rPr>
                </m:ctrlPr>
              </m:dPr>
              <m:e>
                <m:r>
                  <w:rPr>
                    <w:rFonts w:ascii="Cambria Math" w:hAnsi="Cambria Math"/>
                    <w:color w:val="auto"/>
                  </w:rPr>
                  <m:t>g</m:t>
                </m:r>
              </m:e>
            </m:d>
          </m:sub>
        </m:sSub>
        <m:r>
          <w:rPr>
            <w:rFonts w:ascii="Cambria Math" w:hAnsi="Cambria Math"/>
            <w:color w:val="auto"/>
          </w:rPr>
          <m:t xml:space="preserve"> → </m:t>
        </m:r>
        <m:sSub>
          <m:sSubPr>
            <m:ctrlPr>
              <w:rPr>
                <w:rFonts w:ascii="Cambria Math" w:hAnsi="Cambria Math"/>
                <w:i/>
                <w:color w:val="auto"/>
              </w:rPr>
            </m:ctrlPr>
          </m:sSubPr>
          <m:e>
            <m:r>
              <w:rPr>
                <w:rFonts w:ascii="Cambria Math" w:hAnsi="Cambria Math"/>
                <w:color w:val="auto"/>
              </w:rPr>
              <m:t>2 CuO</m:t>
            </m:r>
          </m:e>
          <m:sub>
            <m:r>
              <w:rPr>
                <w:rFonts w:ascii="Cambria Math" w:hAnsi="Cambria Math"/>
                <w:color w:val="auto"/>
              </w:rPr>
              <m:t>(s)</m:t>
            </m:r>
          </m:sub>
        </m:sSub>
      </m:oMath>
    </w:p>
    <w:p w:rsidR="00CB0C33" w:rsidRDefault="00CB0C33" w:rsidP="00CB0C33">
      <w:pPr>
        <w:rPr>
          <w:rFonts w:eastAsiaTheme="minorEastAsia"/>
          <w:color w:val="auto"/>
        </w:rPr>
      </w:pPr>
      <w:r>
        <w:rPr>
          <w:rFonts w:eastAsiaTheme="minorEastAsia"/>
          <w:color w:val="auto"/>
        </w:rPr>
        <w:t>Entsorgung:</w:t>
      </w:r>
      <w:r>
        <w:rPr>
          <w:rFonts w:eastAsiaTheme="minorEastAsia"/>
          <w:color w:val="auto"/>
        </w:rPr>
        <w:tab/>
      </w:r>
      <w:r>
        <w:rPr>
          <w:rFonts w:eastAsiaTheme="minorEastAsia"/>
          <w:color w:val="auto"/>
        </w:rPr>
        <w:tab/>
        <w:t>Die Produkte werden im Feststoffabfall entsorgt</w:t>
      </w:r>
      <w:r>
        <w:rPr>
          <w:rFonts w:eastAsiaTheme="minorEastAsia"/>
          <w:color w:val="auto"/>
        </w:rPr>
        <w:tab/>
      </w:r>
      <w:r>
        <w:rPr>
          <w:rFonts w:eastAsiaTheme="minorEastAsia"/>
          <w:color w:val="auto"/>
        </w:rPr>
        <w:tab/>
      </w:r>
    </w:p>
    <w:p w:rsidR="00CB0C33" w:rsidRPr="003F7B04" w:rsidRDefault="00CB0C33" w:rsidP="00CB0C33">
      <w:pPr>
        <w:rPr>
          <w:rFonts w:eastAsiaTheme="minorEastAsia"/>
          <w:color w:val="auto"/>
        </w:rPr>
      </w:pPr>
      <w:r>
        <w:rPr>
          <w:rFonts w:eastAsiaTheme="minorEastAsia"/>
          <w:color w:val="auto"/>
        </w:rPr>
        <w:t>Literatur:</w:t>
      </w:r>
      <w:r>
        <w:rPr>
          <w:rFonts w:eastAsiaTheme="minorEastAsia"/>
          <w:color w:val="auto"/>
        </w:rPr>
        <w:tab/>
      </w:r>
      <w:r>
        <w:rPr>
          <w:rFonts w:eastAsiaTheme="minorEastAsia"/>
          <w:color w:val="auto"/>
        </w:rPr>
        <w:tab/>
        <w:t xml:space="preserve">Irmer, E. </w:t>
      </w:r>
      <w:r>
        <w:rPr>
          <w:rFonts w:eastAsiaTheme="minorEastAsia"/>
          <w:i/>
          <w:color w:val="auto"/>
        </w:rPr>
        <w:t xml:space="preserve">Elemente </w:t>
      </w:r>
      <w:proofErr w:type="gramStart"/>
      <w:r>
        <w:rPr>
          <w:rFonts w:eastAsiaTheme="minorEastAsia"/>
          <w:i/>
          <w:color w:val="auto"/>
        </w:rPr>
        <w:t>Chemie</w:t>
      </w:r>
      <w:r>
        <w:rPr>
          <w:rFonts w:eastAsiaTheme="minorEastAsia"/>
          <w:color w:val="auto"/>
        </w:rPr>
        <w:t xml:space="preserve"> ,</w:t>
      </w:r>
      <w:proofErr w:type="gramEnd"/>
      <w:r>
        <w:rPr>
          <w:rFonts w:eastAsiaTheme="minorEastAsia"/>
          <w:color w:val="auto"/>
        </w:rPr>
        <w:t xml:space="preserve"> Klett, 1. Auflage, 2008, S. 41.</w:t>
      </w:r>
    </w:p>
    <w:p w:rsidR="00604268" w:rsidRDefault="00CB0C33" w:rsidP="00CB0C33">
      <w:r>
        <w:rPr>
          <w:noProof/>
          <w:lang w:eastAsia="de-DE"/>
        </w:rPr>
        <mc:AlternateContent>
          <mc:Choice Requires="wps">
            <w:drawing>
              <wp:inline distT="0" distB="0" distL="0" distR="0" wp14:anchorId="3680CB4D" wp14:editId="06040A64">
                <wp:extent cx="5760720" cy="1793875"/>
                <wp:effectExtent l="9525" t="9525" r="11430" b="15875"/>
                <wp:docPr id="3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79387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B0C33" w:rsidRPr="00FD55D9" w:rsidRDefault="00CB0C33" w:rsidP="00CB0C33">
                            <w:pPr>
                              <w:rPr>
                                <w:color w:val="auto"/>
                              </w:rPr>
                            </w:pPr>
                            <w:r>
                              <w:rPr>
                                <w:b/>
                                <w:color w:val="auto"/>
                              </w:rPr>
                              <w:t>Unterrichtsanschlüsse:</w:t>
                            </w:r>
                            <w:r>
                              <w:rPr>
                                <w:color w:val="auto"/>
                              </w:rPr>
                              <w:t xml:space="preserve"> Der Versuch eignet sich als Einstiegsversuch in die Thematik der Affinitätsreihe der Metalle. Anhand der unterschiedlich heftigen Reaktionen kann eine vorläufige Affinitätsreihe erstellt werden, welche dann mit weiteren Versuchen überprüft werden kann. Weiterführend können auch die Begriffe edel und unedel anhand der aufgestellten Reihe behandelt werden.  Auch die Rolle des Zerteilungsgrades bei Reaktionen kann anhand des Versuches thematisiert werden, wenn als Vergleich z.B. jeweils eine Platte des jeweiligen Metalls in die Flamme gehalten wird. </w:t>
                            </w:r>
                          </w:p>
                        </w:txbxContent>
                      </wps:txbx>
                      <wps:bodyPr rot="0" vert="horz" wrap="square" lIns="91440" tIns="45720" rIns="91440" bIns="45720" anchor="t" anchorCtr="0" upright="1">
                        <a:noAutofit/>
                      </wps:bodyPr>
                    </wps:wsp>
                  </a:graphicData>
                </a:graphic>
              </wp:inline>
            </w:drawing>
          </mc:Choice>
          <mc:Fallback>
            <w:pict>
              <v:shape w14:anchorId="3680CB4D" id="Text Box 18" o:spid="_x0000_s1027" type="#_x0000_t202" style="width:453.6pt;height:1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" fillcolor="white [3201]" strokecolor="#ed7d31 [3205]" strokeweight="1pt">
                <v:stroke dashstyle="dash"/>
                <v:shadow color="#868686"/>
                <v:textbox>
                  <w:txbxContent>
                    <w:p w:rsidR="00CB0C33" w:rsidRPr="00FD55D9" w:rsidRDefault="00CB0C33" w:rsidP="00CB0C33">
                      <w:pPr>
                        <w:rPr>
                          <w:color w:val="auto"/>
                        </w:rPr>
                      </w:pPr>
                      <w:r>
                        <w:rPr>
                          <w:b/>
                          <w:color w:val="auto"/>
                        </w:rPr>
                        <w:t>Unterrichtsanschlüsse:</w:t>
                      </w:r>
                      <w:r>
                        <w:rPr>
                          <w:color w:val="auto"/>
                        </w:rPr>
                        <w:t xml:space="preserve"> Der Versuch eignet sich als Einstiegsversuch in die Thematik der Affinitätsreihe der Metalle. Anhand der unterschiedlich heftigen Reaktionen kann eine vorläufige Affinitätsreihe erstellt werden, welche dann mit weiteren Versuchen überprüft werden kann. Weiterführend können auch die Begriffe edel und unedel anhand der aufgestellten Reihe behandelt werden.  Auch die Rolle des Zerteilungsgrades bei Reaktionen kann anhand des Versuches thematisiert werden, wenn als Vergleich z.B. jeweils eine Platte des jeweiligen Metalls in die Flamme gehalten wird. </w:t>
                      </w:r>
                    </w:p>
                  </w:txbxContent>
                </v:textbox>
                <w10:anchorlock/>
              </v:shape>
            </w:pict>
          </mc:Fallback>
        </mc:AlternateContent>
      </w:r>
    </w:p>
    <w:sectPr w:rsidR="0060426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422180"/>
    <w:multiLevelType w:val="multilevel"/>
    <w:tmpl w:val="CA18A6E2"/>
    <w:lvl w:ilvl="0">
      <w:start w:val="1"/>
      <w:numFmt w:val="decimal"/>
      <w:pStyle w:val="berschrift1"/>
      <w:lvlText w:val="%1"/>
      <w:lvlJc w:val="left"/>
      <w:pPr>
        <w:ind w:left="6811"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275"/>
    <w:rsid w:val="00957275"/>
    <w:rsid w:val="00CB0C33"/>
    <w:rsid w:val="00E45138"/>
    <w:rsid w:val="00FB4A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1F8814-432C-4255-9CC6-C5AF7077A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rsid w:val="00CB0C33"/>
    <w:pPr>
      <w:spacing w:after="200" w:line="360" w:lineRule="auto"/>
      <w:jc w:val="both"/>
    </w:pPr>
    <w:rPr>
      <w:rFonts w:ascii="Cambria" w:hAnsi="Cambria"/>
      <w:color w:val="171717" w:themeColor="background2" w:themeShade="1A"/>
    </w:rPr>
  </w:style>
  <w:style w:type="paragraph" w:styleId="berschrift1">
    <w:name w:val="heading 1"/>
    <w:basedOn w:val="Standard"/>
    <w:next w:val="Standard"/>
    <w:link w:val="berschrift1Zchn"/>
    <w:uiPriority w:val="9"/>
    <w:qFormat/>
    <w:rsid w:val="00CB0C33"/>
    <w:pPr>
      <w:keepNext/>
      <w:keepLines/>
      <w:numPr>
        <w:numId w:val="1"/>
      </w:numPr>
      <w:spacing w:before="360" w:after="240"/>
      <w:ind w:left="432"/>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CB0C33"/>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CB0C33"/>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CB0C33"/>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berschrift5">
    <w:name w:val="heading 5"/>
    <w:basedOn w:val="Standard"/>
    <w:next w:val="Standard"/>
    <w:link w:val="berschrift5Zchn"/>
    <w:uiPriority w:val="9"/>
    <w:semiHidden/>
    <w:unhideWhenUsed/>
    <w:qFormat/>
    <w:rsid w:val="00CB0C33"/>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berschrift6">
    <w:name w:val="heading 6"/>
    <w:basedOn w:val="Standard"/>
    <w:next w:val="Standard"/>
    <w:link w:val="berschrift6Zchn"/>
    <w:uiPriority w:val="9"/>
    <w:semiHidden/>
    <w:unhideWhenUsed/>
    <w:qFormat/>
    <w:rsid w:val="00CB0C33"/>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berschrift7">
    <w:name w:val="heading 7"/>
    <w:basedOn w:val="Standard"/>
    <w:next w:val="Standard"/>
    <w:link w:val="berschrift7Zchn"/>
    <w:uiPriority w:val="9"/>
    <w:semiHidden/>
    <w:unhideWhenUsed/>
    <w:qFormat/>
    <w:rsid w:val="00CB0C3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CB0C3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B0C3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B0C33"/>
    <w:rPr>
      <w:rFonts w:asciiTheme="majorHAnsi" w:eastAsiaTheme="majorEastAsia" w:hAnsiTheme="majorHAnsi" w:cstheme="majorBidi"/>
      <w:b/>
      <w:bCs/>
      <w:color w:val="171717" w:themeColor="background2" w:themeShade="1A"/>
      <w:sz w:val="28"/>
      <w:szCs w:val="28"/>
    </w:rPr>
  </w:style>
  <w:style w:type="character" w:customStyle="1" w:styleId="berschrift2Zchn">
    <w:name w:val="Überschrift 2 Zchn"/>
    <w:basedOn w:val="Absatz-Standardschriftart"/>
    <w:link w:val="berschrift2"/>
    <w:uiPriority w:val="9"/>
    <w:rsid w:val="00CB0C33"/>
    <w:rPr>
      <w:rFonts w:asciiTheme="majorHAnsi" w:eastAsiaTheme="majorEastAsia" w:hAnsiTheme="majorHAnsi" w:cstheme="majorBidi"/>
      <w:b/>
      <w:bCs/>
      <w:color w:val="171717" w:themeColor="background2" w:themeShade="1A"/>
      <w:szCs w:val="26"/>
    </w:rPr>
  </w:style>
  <w:style w:type="character" w:customStyle="1" w:styleId="berschrift3Zchn">
    <w:name w:val="Überschrift 3 Zchn"/>
    <w:basedOn w:val="Absatz-Standardschriftart"/>
    <w:link w:val="berschrift3"/>
    <w:uiPriority w:val="9"/>
    <w:rsid w:val="00CB0C33"/>
    <w:rPr>
      <w:rFonts w:asciiTheme="majorHAnsi" w:eastAsiaTheme="majorEastAsia" w:hAnsiTheme="majorHAnsi" w:cstheme="majorBidi"/>
      <w:b/>
      <w:bCs/>
      <w:i/>
      <w:color w:val="171717" w:themeColor="background2" w:themeShade="1A"/>
    </w:rPr>
  </w:style>
  <w:style w:type="character" w:customStyle="1" w:styleId="berschrift4Zchn">
    <w:name w:val="Überschrift 4 Zchn"/>
    <w:basedOn w:val="Absatz-Standardschriftart"/>
    <w:link w:val="berschrift4"/>
    <w:uiPriority w:val="9"/>
    <w:semiHidden/>
    <w:rsid w:val="00CB0C33"/>
    <w:rPr>
      <w:rFonts w:asciiTheme="majorHAnsi" w:eastAsiaTheme="majorEastAsia" w:hAnsiTheme="majorHAnsi" w:cstheme="majorBidi"/>
      <w:b/>
      <w:bCs/>
      <w:i/>
      <w:iCs/>
      <w:color w:val="5B9BD5" w:themeColor="accent1"/>
    </w:rPr>
  </w:style>
  <w:style w:type="character" w:customStyle="1" w:styleId="berschrift5Zchn">
    <w:name w:val="Überschrift 5 Zchn"/>
    <w:basedOn w:val="Absatz-Standardschriftart"/>
    <w:link w:val="berschrift5"/>
    <w:uiPriority w:val="9"/>
    <w:semiHidden/>
    <w:rsid w:val="00CB0C33"/>
    <w:rPr>
      <w:rFonts w:asciiTheme="majorHAnsi" w:eastAsiaTheme="majorEastAsia" w:hAnsiTheme="majorHAnsi" w:cstheme="majorBidi"/>
      <w:color w:val="1F4D78" w:themeColor="accent1" w:themeShade="7F"/>
    </w:rPr>
  </w:style>
  <w:style w:type="character" w:customStyle="1" w:styleId="berschrift6Zchn">
    <w:name w:val="Überschrift 6 Zchn"/>
    <w:basedOn w:val="Absatz-Standardschriftart"/>
    <w:link w:val="berschrift6"/>
    <w:uiPriority w:val="9"/>
    <w:semiHidden/>
    <w:rsid w:val="00CB0C33"/>
    <w:rPr>
      <w:rFonts w:asciiTheme="majorHAnsi" w:eastAsiaTheme="majorEastAsia" w:hAnsiTheme="majorHAnsi" w:cstheme="majorBidi"/>
      <w:i/>
      <w:iCs/>
      <w:color w:val="1F4D78" w:themeColor="accent1" w:themeShade="7F"/>
    </w:rPr>
  </w:style>
  <w:style w:type="character" w:customStyle="1" w:styleId="berschrift7Zchn">
    <w:name w:val="Überschrift 7 Zchn"/>
    <w:basedOn w:val="Absatz-Standardschriftart"/>
    <w:link w:val="berschrift7"/>
    <w:uiPriority w:val="9"/>
    <w:semiHidden/>
    <w:rsid w:val="00CB0C33"/>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CB0C33"/>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CB0C33"/>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210</Words>
  <Characters>1324</Characters>
  <Application>Microsoft Office Word</Application>
  <DocSecurity>0</DocSecurity>
  <Lines>11</Lines>
  <Paragraphs>3</Paragraphs>
  <ScaleCrop>false</ScaleCrop>
  <Company/>
  <LinksUpToDate>false</LinksUpToDate>
  <CharactersWithSpaces>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Jannik</dc:creator>
  <cp:keywords/>
  <dc:description/>
  <cp:lastModifiedBy>Jannik</cp:lastModifiedBy>
  <cp:revision>2</cp:revision>
  <dcterms:created xsi:type="dcterms:W3CDTF">2016-08-08T14:52:00Z</dcterms:created>
  <dcterms:modified xsi:type="dcterms:W3CDTF">2016-08-08T14:52:00Z</dcterms:modified>
</cp:coreProperties>
</file>