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6A" w:rsidRPr="00CC307A" w:rsidRDefault="00B95C6A" w:rsidP="00B95C6A">
      <w:pPr>
        <w:pStyle w:val="berschrift2"/>
        <w:numPr>
          <w:ilvl w:val="0"/>
          <w:numId w:val="0"/>
        </w:numPr>
        <w:rPr>
          <w:color w:val="auto"/>
        </w:rPr>
      </w:pPr>
      <w:bookmarkStart w:id="0" w:name="_Toc457450913"/>
      <w:r>
        <w:rPr>
          <w:noProof/>
          <w:lang w:eastAsia="de-DE"/>
        </w:rPr>
        <mc:AlternateContent>
          <mc:Choice Requires="wps">
            <w:drawing>
              <wp:anchor distT="0" distB="0" distL="114300" distR="114300" simplePos="0" relativeHeight="251659264" behindDoc="0" locked="0" layoutInCell="1" allowOverlap="1" wp14:anchorId="22C9D10A" wp14:editId="3365414E">
                <wp:simplePos x="0" y="0"/>
                <wp:positionH relativeFrom="column">
                  <wp:posOffset>-57785</wp:posOffset>
                </wp:positionH>
                <wp:positionV relativeFrom="paragraph">
                  <wp:posOffset>448310</wp:posOffset>
                </wp:positionV>
                <wp:extent cx="5873115" cy="1762125"/>
                <wp:effectExtent l="13335" t="12700" r="9525" b="6350"/>
                <wp:wrapSquare wrapText="bothSides"/>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621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5C6A" w:rsidRPr="00F31EBF" w:rsidRDefault="00B95C6A" w:rsidP="00B95C6A">
                            <w:pPr>
                              <w:rPr>
                                <w:color w:val="auto"/>
                              </w:rPr>
                            </w:pPr>
                            <w:r>
                              <w:rPr>
                                <w:color w:val="auto"/>
                              </w:rPr>
                              <w:t>Versuch 1 dient als Demonstrationsversuch zum Thema der Diffusion von Gasen durch Membranen, indem ein Luftballon mit Ammoniak-Gas befüllt und auf mit Phenolphthalein versetztes Wasser gelegt wird. Aufgrund des Gefahrenpotentials von Ammoniak-Gas ist die Durchführung nur Lehrkräften zu empfehlen. Den Schülerinnen und Schüler sollte im Vorfeld der Aufbau von Membranen als für einige Stoffe undurchlässige Barrieren bekannt sein und der Farbumschlag von Indikatoren wie Phenolphthalein. Auch der Siedepunkt als stoffspezifische Eigenschaft sollte im Vorwissen verankert sein.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C9D10A" id="_x0000_t202" coordsize="21600,21600" o:spt="202" path="m,l,21600r21600,l21600,xe">
                <v:stroke joinstyle="miter"/>
                <v:path gradientshapeok="t" o:connecttype="rect"/>
              </v:shapetype>
              <v:shape id="Text Box 60" o:spid="_x0000_s1026" type="#_x0000_t202" style="position:absolute;left:0;text-align:left;margin-left:-4.55pt;margin-top:35.3pt;width:462.4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Cg7gIAACwGAAAOAAAAZHJzL2Uyb0RvYy54bWysVNuO2jAQfa/Uf7D8zoYEQthowwpYqCr1&#10;Ju1WfTa2k1h17NQ2JNuq/96xAyztPrSqFqTI48uZOTNz5ua2byQ6cGOFVgWOr8YYcUU1E6oq8OeH&#10;7WiOkXVEMSK14gV+5BbfLl6/uunanCe61pJxgwBE2bxrC1w71+ZRZGnNG2KvdMsVHJbaNMSBaaqI&#10;GdIBeiOjZDyeRZ02rDWacmth9244xIuAX5acuo9lablDssAQmwtfE747/40WNySvDGlrQY9hkP+I&#10;oiFCgdMz1B1xBO2NeAbVCGq01aW7orqJdFkKygMHYBOP/2BzX5OWBy6QHNue02RfDpZ+OHwySLAC&#10;p5AeRRqo0QPvHVrpHs1CfrrW5nDtvoWLrod9qHPgatt3mn61SOl1TVTFl8boruaEQXyxz2x08dRX&#10;xObWg+y695qBH7J3OgD1pWl88iAdCNAhkMdzbXwsFDbTeTaJ4xQjCmdxNkviJA0+SH563hrr3nDd&#10;IL8osIHiB3hyeGedD4fkpyvem9VSsK2QMhi+4fhaGnQg0CrSDRTlvoFYh7147H9Dx8A+9NWwH7YA&#10;O/SshwiefkOXCnUQdZLB+7+5JpRy5dJw74Xce9Z3xNZDvAxWA4tGOBCfFE2B5xfkfAk3igVpOCLk&#10;sAaGUvngeZDVkFKwegfLsA+VCi3/Y7lNx9l0Mh9lWToZTSeb8Wg1365Hy3U8m2Wb1Xq1iX96gvE0&#10;rwVjXG0Cpj0pMJ7+W4cfZ8GgnbMGzwH6qPQeON7XrENM+K6YpNdJjMGAIeDr4UuKiKxgelFnMDLa&#10;fRGuDtLzTegxrKl259aYz/z/2Hpn9FDzC8fRM27DjR5SBZk8ZS0oxItikIfrdz2k3Stlp9kjaAXC&#10;CYKAEQuLWpvvGHUwrgpsv+2J4RjJtwr0dh1Pp36+BWOaZgkY5vJkd3lCFAWoAjugHpZrN8zEfWtE&#10;VYOnof2VXoJGSxHU8xQVUPAGjKRA5jg+/cy7tMOtpyG/+AUAAP//AwBQSwMEFAAGAAgAAAAhAIMz&#10;qp/gAAAACQEAAA8AAABkcnMvZG93bnJldi54bWxMj0FPg0AUhO8m/ofNM/HWLqhtKWVpTBMPWj2I&#10;9v7KvgKRfUvYLWB/vetJj5OZzHyTbSfTioF611hWEM8jEMSl1Q1XCj4/nmYJCOeRNbaWScE3Odjm&#10;11cZptqO/E5D4SsRStilqKD2vkuldGVNBt3cdsTBO9neoA+yr6TucQzlppV3UbSUBhsOCzV2tKup&#10;/CrORsHuJbmMZoG4Hw6nrnh93l+it5VStzfT4waEp8n/heEXP6BDHpiO9szaiVbBbB2HpIJVtAQR&#10;/HW8CFeOCu4fkhhknsn/D/IfAAAA//8DAFBLAQItABQABgAIAAAAIQC2gziS/gAAAOEBAAATAAAA&#10;AAAAAAAAAAAAAAAAAABbQ29udGVudF9UeXBlc10ueG1sUEsBAi0AFAAGAAgAAAAhADj9If/WAAAA&#10;lAEAAAsAAAAAAAAAAAAAAAAALwEAAF9yZWxzLy5yZWxzUEsBAi0AFAAGAAgAAAAhAE3ZAKDuAgAA&#10;LAYAAA4AAAAAAAAAAAAAAAAALgIAAGRycy9lMm9Eb2MueG1sUEsBAi0AFAAGAAgAAAAhAIMzqp/g&#10;AAAACQEAAA8AAAAAAAAAAAAAAAAASAUAAGRycy9kb3ducmV2LnhtbFBLBQYAAAAABAAEAPMAAABV&#10;BgAAAAA=&#10;" fillcolor="white [3201]" strokecolor="#4472c4 [3208]" strokeweight="1pt">
                <v:stroke dashstyle="dash"/>
                <v:shadow color="#868686"/>
                <v:textbox>
                  <w:txbxContent>
                    <w:p w:rsidR="00B95C6A" w:rsidRPr="00F31EBF" w:rsidRDefault="00B95C6A" w:rsidP="00B95C6A">
                      <w:pPr>
                        <w:rPr>
                          <w:color w:val="auto"/>
                        </w:rPr>
                      </w:pPr>
                      <w:r>
                        <w:rPr>
                          <w:color w:val="auto"/>
                        </w:rPr>
                        <w:t>Versuch 1 dient als Demonstrationsversuch zum Thema der Diffusion von Gasen durch Membranen, indem ein Luftballon mit Ammoniak-Gas befüllt und auf mit Phenolphthalein versetztes Wasser gelegt wird. Aufgrund des Gefahrenpotentials von Ammoniak-Gas ist die Durchführung nur Lehrkräften zu empfehlen. Den Schülerinnen und Schüler sollte im Vorfeld der Aufbau von Membranen als für einige Stoffe undurchlässige Barrieren bekannt sein und der Farbumschlag von Indikatoren wie Phenolphthalein. Auch der Siedepunkt als stoffspezifische Eigenschaft sollte im Vorwissen verankert sein.</w:t>
                      </w:r>
                    </w:p>
                  </w:txbxContent>
                </v:textbox>
                <w10:wrap type="square"/>
              </v:shape>
            </w:pict>
          </mc:Fallback>
        </mc:AlternateContent>
      </w:r>
      <w:r w:rsidRPr="00CC307A">
        <w:rPr>
          <w:color w:val="auto"/>
        </w:rPr>
        <w:t xml:space="preserve">V1 – </w:t>
      </w:r>
      <w:r>
        <w:rPr>
          <w:color w:val="auto"/>
        </w:rPr>
        <w:t>Nicht ganz dicht</w:t>
      </w:r>
      <w:bookmarkEnd w:id="0"/>
    </w:p>
    <w:p w:rsidR="00B95C6A" w:rsidRDefault="00B95C6A" w:rsidP="00B95C6A"/>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95C6A" w:rsidRPr="009C5E28" w:rsidTr="00586BCE">
        <w:tc>
          <w:tcPr>
            <w:tcW w:w="9322" w:type="dxa"/>
            <w:gridSpan w:val="9"/>
            <w:shd w:val="clear" w:color="auto" w:fill="4F81BD"/>
            <w:vAlign w:val="center"/>
          </w:tcPr>
          <w:p w:rsidR="00B95C6A" w:rsidRPr="00F31EBF" w:rsidRDefault="00B95C6A" w:rsidP="00586BCE">
            <w:pPr>
              <w:spacing w:after="0"/>
              <w:jc w:val="center"/>
              <w:rPr>
                <w:b/>
                <w:bCs/>
                <w:color w:val="FFFFFF" w:themeColor="background1"/>
              </w:rPr>
            </w:pPr>
            <w:bookmarkStart w:id="1" w:name="_Toc425776595"/>
            <w:bookmarkStart w:id="2" w:name="_Toc456688591"/>
            <w:bookmarkStart w:id="3" w:name="_Toc456688607"/>
            <w:bookmarkEnd w:id="1"/>
            <w:bookmarkEnd w:id="2"/>
            <w:bookmarkEnd w:id="3"/>
            <w:r w:rsidRPr="00F31EBF">
              <w:rPr>
                <w:b/>
                <w:bCs/>
                <w:color w:val="FFFFFF" w:themeColor="background1"/>
              </w:rPr>
              <w:t>Gefahrenstoffe</w:t>
            </w:r>
          </w:p>
        </w:tc>
      </w:tr>
      <w:tr w:rsidR="00B95C6A" w:rsidRPr="009C5E28" w:rsidTr="00586BCE">
        <w:trPr>
          <w:trHeight w:val="437"/>
        </w:trPr>
        <w:tc>
          <w:tcPr>
            <w:tcW w:w="3027" w:type="dxa"/>
            <w:gridSpan w:val="3"/>
            <w:shd w:val="clear" w:color="auto" w:fill="auto"/>
            <w:vAlign w:val="center"/>
          </w:tcPr>
          <w:p w:rsidR="00B95C6A" w:rsidRDefault="00B95C6A" w:rsidP="00586BCE">
            <w:pPr>
              <w:spacing w:after="0" w:line="276" w:lineRule="auto"/>
              <w:jc w:val="center"/>
              <w:rPr>
                <w:sz w:val="20"/>
              </w:rPr>
            </w:pPr>
            <w:r>
              <w:rPr>
                <w:sz w:val="20"/>
              </w:rPr>
              <w:t xml:space="preserve">Ammoniaklösung </w:t>
            </w:r>
          </w:p>
          <w:p w:rsidR="00B95C6A" w:rsidRPr="009C5E28" w:rsidRDefault="00B95C6A" w:rsidP="00586BCE">
            <w:pPr>
              <w:spacing w:after="0" w:line="276" w:lineRule="auto"/>
              <w:jc w:val="center"/>
              <w:rPr>
                <w:b/>
                <w:bCs/>
              </w:rPr>
            </w:pPr>
            <w:r>
              <w:rPr>
                <w:sz w:val="20"/>
              </w:rPr>
              <w:t>(</w:t>
            </w:r>
            <w:proofErr w:type="spellStart"/>
            <w:r>
              <w:rPr>
                <w:sz w:val="20"/>
              </w:rPr>
              <w:t>konz</w:t>
            </w:r>
            <w:proofErr w:type="spellEnd"/>
            <w:r>
              <w:rPr>
                <w:sz w:val="20"/>
              </w:rPr>
              <w:t>., ca. 25%)</w:t>
            </w:r>
          </w:p>
        </w:tc>
        <w:tc>
          <w:tcPr>
            <w:tcW w:w="3177" w:type="dxa"/>
            <w:gridSpan w:val="3"/>
            <w:shd w:val="clear" w:color="auto" w:fill="auto"/>
            <w:vAlign w:val="center"/>
          </w:tcPr>
          <w:p w:rsidR="00B95C6A" w:rsidRPr="009C5E28" w:rsidRDefault="00B95C6A" w:rsidP="00586BCE">
            <w:pPr>
              <w:spacing w:after="0"/>
              <w:jc w:val="center"/>
            </w:pPr>
            <w:r w:rsidRPr="009C5E28">
              <w:rPr>
                <w:sz w:val="20"/>
              </w:rPr>
              <w:t xml:space="preserve">H: </w:t>
            </w:r>
            <w:hyperlink r:id="rId5" w:anchor="H-S.C3.A4tze" w:tooltip="H- und P-Sätze" w:history="1">
              <w:r>
                <w:rPr>
                  <w:rStyle w:val="Hyperlink"/>
                  <w:color w:val="auto"/>
                  <w:sz w:val="20"/>
                </w:rPr>
                <w:t>3</w:t>
              </w:r>
            </w:hyperlink>
            <w:hyperlink r:id="rId6" w:anchor="H-S.C3.A4tze" w:tooltip="H- und P-Sätze" w:history="1">
              <w:r w:rsidRPr="009C5E28">
                <w:rPr>
                  <w:rStyle w:val="Hyperlink"/>
                  <w:color w:val="auto"/>
                  <w:sz w:val="20"/>
                </w:rPr>
                <w:t>02</w:t>
              </w:r>
            </w:hyperlink>
            <w:r w:rsidRPr="009C5E28">
              <w:rPr>
                <w:sz w:val="20"/>
              </w:rPr>
              <w:t>-</w:t>
            </w:r>
            <w:hyperlink r:id="rId7" w:anchor="H-S.C3.A4tze" w:tooltip="H- und P-Sätze" w:history="1">
              <w:r w:rsidRPr="009C5E28">
                <w:rPr>
                  <w:rStyle w:val="Hyperlink"/>
                  <w:color w:val="auto"/>
                  <w:sz w:val="20"/>
                </w:rPr>
                <w:t>314</w:t>
              </w:r>
            </w:hyperlink>
            <w:r>
              <w:rPr>
                <w:rStyle w:val="Hyperlink"/>
                <w:color w:val="auto"/>
                <w:sz w:val="20"/>
              </w:rPr>
              <w:t>-335-400</w:t>
            </w:r>
          </w:p>
        </w:tc>
        <w:tc>
          <w:tcPr>
            <w:tcW w:w="3118" w:type="dxa"/>
            <w:gridSpan w:val="3"/>
            <w:shd w:val="clear" w:color="auto" w:fill="auto"/>
            <w:vAlign w:val="center"/>
          </w:tcPr>
          <w:p w:rsidR="00B95C6A" w:rsidRPr="009C5E28" w:rsidRDefault="00B95C6A" w:rsidP="00586BCE">
            <w:pPr>
              <w:spacing w:after="0"/>
              <w:jc w:val="center"/>
            </w:pPr>
            <w:r w:rsidRPr="009C5E28">
              <w:rPr>
                <w:sz w:val="20"/>
              </w:rPr>
              <w:t xml:space="preserve">P: </w:t>
            </w:r>
            <w:r>
              <w:rPr>
                <w:sz w:val="20"/>
              </w:rPr>
              <w:t>273-</w:t>
            </w:r>
            <w:hyperlink r:id="rId8" w:anchor="P-S.C3.A4tze" w:tooltip="H- und P-Sätze" w:history="1">
              <w:r w:rsidRPr="009C5E28">
                <w:rPr>
                  <w:rStyle w:val="Hyperlink"/>
                  <w:color w:val="auto"/>
                  <w:sz w:val="20"/>
                </w:rPr>
                <w:t>280</w:t>
              </w:r>
            </w:hyperlink>
            <w:r w:rsidRPr="009C5E28">
              <w:rPr>
                <w:sz w:val="20"/>
              </w:rPr>
              <w:t>-</w:t>
            </w:r>
            <w:hyperlink r:id="rId9" w:anchor="P-S.C3.A4tze" w:tooltip="H- und P-Sätze" w:history="1">
              <w:r w:rsidRPr="009C5E28">
                <w:rPr>
                  <w:rStyle w:val="Hyperlink"/>
                  <w:color w:val="auto"/>
                  <w:sz w:val="20"/>
                </w:rPr>
                <w:t>301+330+331</w:t>
              </w:r>
            </w:hyperlink>
            <w:r>
              <w:rPr>
                <w:rStyle w:val="Hyperlink"/>
                <w:color w:val="auto"/>
                <w:sz w:val="20"/>
              </w:rPr>
              <w:t>-304+340-305+351+338-309+310</w:t>
            </w:r>
          </w:p>
        </w:tc>
      </w:tr>
      <w:tr w:rsidR="00B95C6A" w:rsidRPr="009C5E28" w:rsidTr="00586BCE">
        <w:trPr>
          <w:trHeight w:val="434"/>
        </w:trPr>
        <w:tc>
          <w:tcPr>
            <w:tcW w:w="3027" w:type="dxa"/>
            <w:gridSpan w:val="3"/>
            <w:shd w:val="clear" w:color="auto" w:fill="auto"/>
            <w:vAlign w:val="center"/>
          </w:tcPr>
          <w:p w:rsidR="00B95C6A" w:rsidRDefault="00B95C6A" w:rsidP="00586BCE">
            <w:pPr>
              <w:spacing w:after="0" w:line="276" w:lineRule="auto"/>
              <w:jc w:val="center"/>
              <w:rPr>
                <w:color w:val="auto"/>
                <w:sz w:val="20"/>
                <w:szCs w:val="20"/>
              </w:rPr>
            </w:pPr>
            <w:proofErr w:type="spellStart"/>
            <w:r>
              <w:rPr>
                <w:color w:val="auto"/>
                <w:sz w:val="20"/>
                <w:szCs w:val="20"/>
              </w:rPr>
              <w:t>Phenolphthaleinlösung</w:t>
            </w:r>
            <w:proofErr w:type="spellEnd"/>
          </w:p>
          <w:p w:rsidR="00B95C6A" w:rsidRPr="009C5E28" w:rsidRDefault="00B95C6A" w:rsidP="00586BCE">
            <w:pPr>
              <w:spacing w:after="0" w:line="276" w:lineRule="auto"/>
              <w:jc w:val="center"/>
              <w:rPr>
                <w:bCs/>
                <w:sz w:val="20"/>
              </w:rPr>
            </w:pPr>
            <w:r>
              <w:rPr>
                <w:color w:val="auto"/>
                <w:sz w:val="20"/>
                <w:szCs w:val="20"/>
              </w:rPr>
              <w:t>(0,1%ig in Ethanol/Wasser)</w:t>
            </w:r>
          </w:p>
        </w:tc>
        <w:tc>
          <w:tcPr>
            <w:tcW w:w="3177" w:type="dxa"/>
            <w:gridSpan w:val="3"/>
            <w:shd w:val="clear" w:color="auto" w:fill="auto"/>
            <w:vAlign w:val="center"/>
          </w:tcPr>
          <w:p w:rsidR="00B95C6A" w:rsidRPr="009C5E28" w:rsidRDefault="00B95C6A" w:rsidP="00586BCE">
            <w:pPr>
              <w:pStyle w:val="Beschriftung"/>
              <w:spacing w:after="0"/>
              <w:jc w:val="center"/>
              <w:rPr>
                <w:sz w:val="20"/>
              </w:rPr>
            </w:pPr>
            <w:r w:rsidRPr="009C5E28">
              <w:rPr>
                <w:sz w:val="20"/>
              </w:rPr>
              <w:t xml:space="preserve">H: </w:t>
            </w:r>
            <w:r w:rsidRPr="0026540D">
              <w:rPr>
                <w:sz w:val="20"/>
                <w:szCs w:val="20"/>
              </w:rPr>
              <w:t>226-319</w:t>
            </w:r>
          </w:p>
        </w:tc>
        <w:tc>
          <w:tcPr>
            <w:tcW w:w="3118" w:type="dxa"/>
            <w:gridSpan w:val="3"/>
            <w:shd w:val="clear" w:color="auto" w:fill="auto"/>
            <w:vAlign w:val="center"/>
          </w:tcPr>
          <w:p w:rsidR="00B95C6A" w:rsidRPr="009C5E28" w:rsidRDefault="00B95C6A" w:rsidP="00586BCE">
            <w:pPr>
              <w:pStyle w:val="Beschriftung"/>
              <w:spacing w:after="0"/>
              <w:jc w:val="center"/>
              <w:rPr>
                <w:sz w:val="20"/>
              </w:rPr>
            </w:pPr>
            <w:r w:rsidRPr="009C5E28">
              <w:rPr>
                <w:sz w:val="20"/>
              </w:rPr>
              <w:t xml:space="preserve">P: </w:t>
            </w:r>
            <w:r w:rsidRPr="0026540D">
              <w:rPr>
                <w:sz w:val="20"/>
                <w:szCs w:val="20"/>
              </w:rPr>
              <w:t>210-280-305+351-338-</w:t>
            </w:r>
            <w:r>
              <w:rPr>
                <w:sz w:val="20"/>
                <w:szCs w:val="20"/>
              </w:rPr>
              <w:t>337+313-304+235</w:t>
            </w:r>
          </w:p>
        </w:tc>
      </w:tr>
      <w:tr w:rsidR="00B95C6A" w:rsidRPr="009C5E28" w:rsidTr="00586BCE">
        <w:trPr>
          <w:trHeight w:val="434"/>
        </w:trPr>
        <w:tc>
          <w:tcPr>
            <w:tcW w:w="3027" w:type="dxa"/>
            <w:gridSpan w:val="3"/>
            <w:shd w:val="clear" w:color="auto" w:fill="auto"/>
            <w:vAlign w:val="center"/>
          </w:tcPr>
          <w:p w:rsidR="00B95C6A" w:rsidRDefault="00B95C6A" w:rsidP="00586BCE">
            <w:pPr>
              <w:spacing w:after="0" w:line="276" w:lineRule="auto"/>
              <w:jc w:val="center"/>
              <w:rPr>
                <w:color w:val="auto"/>
                <w:sz w:val="20"/>
                <w:szCs w:val="20"/>
              </w:rPr>
            </w:pPr>
            <w:r>
              <w:rPr>
                <w:color w:val="auto"/>
                <w:sz w:val="20"/>
                <w:szCs w:val="20"/>
              </w:rPr>
              <w:t>Wasser</w:t>
            </w:r>
          </w:p>
        </w:tc>
        <w:tc>
          <w:tcPr>
            <w:tcW w:w="3177" w:type="dxa"/>
            <w:gridSpan w:val="3"/>
            <w:shd w:val="clear" w:color="auto" w:fill="auto"/>
            <w:vAlign w:val="center"/>
          </w:tcPr>
          <w:p w:rsidR="00B95C6A" w:rsidRPr="009C5E28" w:rsidRDefault="00B95C6A" w:rsidP="00586BCE">
            <w:pPr>
              <w:pStyle w:val="Beschriftung"/>
              <w:spacing w:after="0"/>
              <w:jc w:val="center"/>
              <w:rPr>
                <w:sz w:val="20"/>
              </w:rPr>
            </w:pPr>
            <w:r>
              <w:rPr>
                <w:sz w:val="20"/>
              </w:rPr>
              <w:t>H: -</w:t>
            </w:r>
          </w:p>
        </w:tc>
        <w:tc>
          <w:tcPr>
            <w:tcW w:w="3118" w:type="dxa"/>
            <w:gridSpan w:val="3"/>
            <w:shd w:val="clear" w:color="auto" w:fill="auto"/>
            <w:vAlign w:val="center"/>
          </w:tcPr>
          <w:p w:rsidR="00B95C6A" w:rsidRPr="009C5E28" w:rsidRDefault="00B95C6A" w:rsidP="00586BCE">
            <w:pPr>
              <w:pStyle w:val="Beschriftung"/>
              <w:spacing w:after="0"/>
              <w:jc w:val="center"/>
              <w:rPr>
                <w:sz w:val="20"/>
              </w:rPr>
            </w:pPr>
            <w:r>
              <w:rPr>
                <w:sz w:val="20"/>
              </w:rPr>
              <w:t>P: -</w:t>
            </w:r>
          </w:p>
        </w:tc>
      </w:tr>
      <w:tr w:rsidR="00B95C6A" w:rsidRPr="009C5E28" w:rsidTr="00586BCE">
        <w:tc>
          <w:tcPr>
            <w:tcW w:w="1009" w:type="dxa"/>
            <w:shd w:val="clear" w:color="auto" w:fill="auto"/>
            <w:vAlign w:val="center"/>
          </w:tcPr>
          <w:p w:rsidR="00B95C6A" w:rsidRPr="009C5E28" w:rsidRDefault="00B95C6A" w:rsidP="00586BCE">
            <w:pPr>
              <w:spacing w:after="0"/>
              <w:jc w:val="center"/>
              <w:rPr>
                <w:b/>
                <w:bCs/>
              </w:rPr>
            </w:pPr>
            <w:r>
              <w:rPr>
                <w:b/>
                <w:noProof/>
                <w:lang w:eastAsia="de-DE"/>
              </w:rPr>
              <w:drawing>
                <wp:inline distT="0" distB="0" distL="0" distR="0" wp14:anchorId="4E870A8D" wp14:editId="2DACAC6C">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B95C6A" w:rsidRPr="009C5E28" w:rsidRDefault="00B95C6A" w:rsidP="00586BCE">
            <w:pPr>
              <w:spacing w:after="0"/>
              <w:jc w:val="center"/>
            </w:pPr>
            <w:r>
              <w:rPr>
                <w:noProof/>
                <w:lang w:eastAsia="de-DE"/>
              </w:rPr>
              <w:drawing>
                <wp:inline distT="0" distB="0" distL="0" distR="0" wp14:anchorId="545F85F9" wp14:editId="6FA37A05">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B95C6A" w:rsidRPr="009C5E28" w:rsidRDefault="00B95C6A" w:rsidP="00586BCE">
            <w:pPr>
              <w:spacing w:after="0"/>
              <w:jc w:val="center"/>
            </w:pPr>
            <w:r>
              <w:rPr>
                <w:noProof/>
                <w:lang w:eastAsia="de-DE"/>
              </w:rPr>
              <w:drawing>
                <wp:inline distT="0" distB="0" distL="0" distR="0" wp14:anchorId="6D8D067A" wp14:editId="563E6F7A">
                  <wp:extent cx="501650" cy="501650"/>
                  <wp:effectExtent l="0" t="0" r="0" b="0"/>
                  <wp:docPr id="13" name="Grafik 13"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rennbar"/>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B95C6A" w:rsidRPr="009C5E28" w:rsidRDefault="00B95C6A" w:rsidP="00586BCE">
            <w:pPr>
              <w:spacing w:after="0"/>
              <w:jc w:val="center"/>
            </w:pPr>
            <w:r>
              <w:rPr>
                <w:noProof/>
                <w:lang w:eastAsia="de-DE"/>
              </w:rPr>
              <w:drawing>
                <wp:inline distT="0" distB="0" distL="0" distR="0" wp14:anchorId="34479096" wp14:editId="3882883C">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B95C6A" w:rsidRPr="009C5E28" w:rsidRDefault="00B95C6A" w:rsidP="00586BCE">
            <w:pPr>
              <w:spacing w:after="0"/>
              <w:jc w:val="center"/>
            </w:pPr>
            <w:r>
              <w:rPr>
                <w:noProof/>
                <w:lang w:eastAsia="de-DE"/>
              </w:rPr>
              <w:drawing>
                <wp:inline distT="0" distB="0" distL="0" distR="0" wp14:anchorId="02B1330D" wp14:editId="6300379D">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B95C6A" w:rsidRPr="009C5E28" w:rsidRDefault="00B95C6A" w:rsidP="00586BCE">
            <w:pPr>
              <w:spacing w:after="0"/>
              <w:jc w:val="center"/>
            </w:pPr>
            <w:r>
              <w:rPr>
                <w:noProof/>
                <w:lang w:eastAsia="de-DE"/>
              </w:rPr>
              <w:drawing>
                <wp:inline distT="0" distB="0" distL="0" distR="0" wp14:anchorId="1A625D3A" wp14:editId="4A9F46B9">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B95C6A" w:rsidRPr="009C5E28" w:rsidRDefault="00B95C6A" w:rsidP="00586BCE">
            <w:pPr>
              <w:spacing w:after="0"/>
              <w:jc w:val="center"/>
            </w:pPr>
            <w:r>
              <w:rPr>
                <w:noProof/>
                <w:lang w:eastAsia="de-DE"/>
              </w:rPr>
              <w:drawing>
                <wp:inline distT="0" distB="0" distL="0" distR="0" wp14:anchorId="5B68FA14" wp14:editId="654EA70E">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B95C6A" w:rsidRPr="009C5E28" w:rsidRDefault="00B95C6A" w:rsidP="00586BCE">
            <w:pPr>
              <w:spacing w:after="0"/>
              <w:jc w:val="center"/>
            </w:pPr>
            <w:r>
              <w:rPr>
                <w:noProof/>
                <w:lang w:eastAsia="de-DE"/>
              </w:rPr>
              <w:drawing>
                <wp:inline distT="0" distB="0" distL="0" distR="0" wp14:anchorId="156BC378" wp14:editId="62367DFA">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B95C6A" w:rsidRPr="009C5E28" w:rsidRDefault="00B95C6A" w:rsidP="00586BCE">
            <w:pPr>
              <w:spacing w:after="0"/>
              <w:jc w:val="center"/>
            </w:pPr>
            <w:r>
              <w:rPr>
                <w:noProof/>
                <w:lang w:eastAsia="de-DE"/>
              </w:rPr>
              <w:drawing>
                <wp:inline distT="0" distB="0" distL="0" distR="0" wp14:anchorId="5F8BC02D" wp14:editId="0F586ED1">
                  <wp:extent cx="584200" cy="584200"/>
                  <wp:effectExtent l="0" t="0" r="0" b="0"/>
                  <wp:docPr id="4" name="Grafik 4"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mweltgefahr"/>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84200" cy="584200"/>
                          </a:xfrm>
                          <a:prstGeom prst="rect">
                            <a:avLst/>
                          </a:prstGeom>
                          <a:noFill/>
                          <a:ln>
                            <a:noFill/>
                          </a:ln>
                        </pic:spPr>
                      </pic:pic>
                    </a:graphicData>
                  </a:graphic>
                </wp:inline>
              </w:drawing>
            </w:r>
          </w:p>
        </w:tc>
      </w:tr>
    </w:tbl>
    <w:p w:rsidR="00B95C6A" w:rsidRDefault="00B95C6A" w:rsidP="00B95C6A">
      <w:pPr>
        <w:tabs>
          <w:tab w:val="left" w:pos="1701"/>
          <w:tab w:val="left" w:pos="1985"/>
        </w:tabs>
        <w:ind w:left="1980" w:hanging="1980"/>
      </w:pPr>
    </w:p>
    <w:p w:rsidR="00B95C6A" w:rsidRDefault="00B95C6A" w:rsidP="00B95C6A">
      <w:pPr>
        <w:tabs>
          <w:tab w:val="left" w:pos="1701"/>
          <w:tab w:val="left" w:pos="1985"/>
        </w:tabs>
        <w:ind w:left="1980" w:hanging="1980"/>
      </w:pPr>
      <w:r>
        <w:t xml:space="preserve">Materialien: </w:t>
      </w:r>
      <w:r>
        <w:tab/>
      </w:r>
      <w:r>
        <w:tab/>
        <w:t>Luftballon, Reagenzglas,</w:t>
      </w:r>
      <w:r w:rsidRPr="001720ED">
        <w:t xml:space="preserve"> </w:t>
      </w:r>
      <w:proofErr w:type="spellStart"/>
      <w:r>
        <w:t>Pasteurpitte</w:t>
      </w:r>
      <w:proofErr w:type="spellEnd"/>
      <w:r>
        <w:t>, Becherglas (250 mL), Krokodilklemme, Reagenzglasständer, Kristallisierschale, Handschuhe</w:t>
      </w:r>
    </w:p>
    <w:p w:rsidR="00B95C6A" w:rsidRPr="00ED07C2" w:rsidRDefault="00B95C6A" w:rsidP="00B95C6A">
      <w:pPr>
        <w:tabs>
          <w:tab w:val="left" w:pos="1701"/>
          <w:tab w:val="left" w:pos="1985"/>
        </w:tabs>
        <w:ind w:left="1980" w:hanging="1980"/>
      </w:pPr>
      <w:r>
        <w:t>Chemikalien:</w:t>
      </w:r>
      <w:r>
        <w:tab/>
      </w:r>
      <w:r>
        <w:tab/>
        <w:t xml:space="preserve">Ammoniaklösung, </w:t>
      </w:r>
      <w:proofErr w:type="spellStart"/>
      <w:r>
        <w:t>Phenolphthaleinlösung</w:t>
      </w:r>
      <w:proofErr w:type="spellEnd"/>
      <w:r>
        <w:t>, Wasser</w:t>
      </w:r>
    </w:p>
    <w:p w:rsidR="00B95C6A" w:rsidRDefault="00B95C6A" w:rsidP="00B95C6A">
      <w:pPr>
        <w:tabs>
          <w:tab w:val="left" w:pos="1701"/>
          <w:tab w:val="left" w:pos="1985"/>
        </w:tabs>
        <w:ind w:left="1980" w:hanging="1980"/>
      </w:pPr>
      <w:r>
        <w:t>Durchführung:</w:t>
      </w:r>
      <w:r>
        <w:tab/>
      </w:r>
      <w:r>
        <w:tab/>
        <w:t xml:space="preserve">Die Versuchsdurchführung erfolgt im Abzug und es sollten Handschuhe getragen werden. Mit der </w:t>
      </w:r>
      <w:proofErr w:type="spellStart"/>
      <w:r>
        <w:t>Pasteurpipette</w:t>
      </w:r>
      <w:proofErr w:type="spellEnd"/>
      <w:r>
        <w:t xml:space="preserve"> wird etwa einen Finger breit Ammoniaklösung in das Reagenzglas gegeben und der Luftballon darübergestülpt. Das Becherglas wird mit heißem Wasser gefüllt und das Reagenzglas in dieses Wasserbad gestellt, bis sich der Luftballon mit Gas gefüllt hat. Dann wird das Reagenzglas in den Ständer gestellt, der Luftballon mit der Krokodilklemme verschlossen und vom Reagenzglas abgezogen. Die mit Wasser gefüllte Kristallisierschale wird mit einigen Tropfen </w:t>
      </w:r>
      <w:proofErr w:type="spellStart"/>
      <w:r>
        <w:t>Phenolphthtaleinlösung</w:t>
      </w:r>
      <w:proofErr w:type="spellEnd"/>
      <w:r>
        <w:t xml:space="preserve"> versetzt und der Luftballon auf die Wasseroberfläche gedrückt, sodass die verschlossene Öffnung unter Wasser liegt. Nach dem Prüfen der Dichtigkeit wird die Öffnung nach oben gedreht.</w:t>
      </w:r>
    </w:p>
    <w:p w:rsidR="00B95C6A" w:rsidRDefault="00B95C6A" w:rsidP="00B95C6A">
      <w:pPr>
        <w:tabs>
          <w:tab w:val="left" w:pos="1701"/>
          <w:tab w:val="left" w:pos="1985"/>
        </w:tabs>
        <w:ind w:left="1980" w:hanging="1980"/>
      </w:pPr>
      <w:r>
        <w:rPr>
          <w:noProof/>
          <w:lang w:eastAsia="de-DE"/>
        </w:rPr>
        <w:lastRenderedPageBreak/>
        <mc:AlternateContent>
          <mc:Choice Requires="wps">
            <w:drawing>
              <wp:anchor distT="0" distB="0" distL="114300" distR="114300" simplePos="0" relativeHeight="251661312" behindDoc="0" locked="0" layoutInCell="1" allowOverlap="1" wp14:anchorId="4EA0140D" wp14:editId="6E2E258A">
                <wp:simplePos x="0" y="0"/>
                <wp:positionH relativeFrom="column">
                  <wp:posOffset>1208405</wp:posOffset>
                </wp:positionH>
                <wp:positionV relativeFrom="paragraph">
                  <wp:posOffset>4072890</wp:posOffset>
                </wp:positionV>
                <wp:extent cx="3333750" cy="394970"/>
                <wp:effectExtent l="3175" t="635" r="0" b="4445"/>
                <wp:wrapTopAndBottom/>
                <wp:docPr id="4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C6A" w:rsidRPr="00FA1A31" w:rsidRDefault="00B95C6A" w:rsidP="00B95C6A">
                            <w:pPr>
                              <w:pStyle w:val="Beschriftung"/>
                              <w:rPr>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w:t>
                            </w:r>
                            <w:proofErr w:type="spellStart"/>
                            <w:r>
                              <w:t>Violettfärbung</w:t>
                            </w:r>
                            <w:proofErr w:type="spellEnd"/>
                            <w:r>
                              <w:t xml:space="preserve"> der </w:t>
                            </w:r>
                            <w:proofErr w:type="spellStart"/>
                            <w:r>
                              <w:t>Phenolphthaleinlösung</w:t>
                            </w:r>
                            <w:proofErr w:type="spellEnd"/>
                            <w:r>
                              <w:t xml:space="preserve"> bei Reaktion mit Ammoniak-Gas.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A0140D" id="Text Box 206" o:spid="_x0000_s1027" type="#_x0000_t202" style="position:absolute;left:0;text-align:left;margin-left:95.15pt;margin-top:320.7pt;width:262.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KfAIAAAkFAAAOAAAAZHJzL2Uyb0RvYy54bWysVG1v2yAQ/j5p/wHxPbWdOmls1an6Mk+T&#10;uhep3Q8ggGM0DAxI7K7af9+B47TrNmma5g/4gOPh7p7nOL8YOon23DqhVYWzkxQjrqhmQm0r/Pm+&#10;nq0wcp4oRqRWvMIP3OGL9etX570p+Vy3WjJuEYAoV/amwq33pkwSR1veEXeiDVew2WjbEQ9Tu02Y&#10;JT2gdzKZp+ky6bVlxmrKnYPVm3ETryN+03DqPzaN4x7JCkNsPo42jpswJutzUm4tMa2ghzDIP0TR&#10;EaHg0iPUDfEE7az4BaoT1GqnG39CdZfophGUxxwgmyx9kc1dSwyPuUBxnDmWyf0/WPph/8kiwSqc&#10;Fxgp0gFH93zw6EoPaJ4uQ4F640rwuzPg6QfYAKJjss7cavrFIaWvW6K2/NJa3becMAgwCyeTZ0dH&#10;HBdANv17zeAisvM6Ag2N7UL1oB4I0IGohyM5IRgKi6fwnS1gi8LeaZEXZ5G9hJTTaWOdf8t1h4JR&#10;YQvkR3Syv3U+REPKySVc5rQUrBZSxondbq6lRXsCQqnjFxN44SZVcFY6HBsRxxUIEu4IeyHcSPxj&#10;kc3z9GpezOrl6myW1/liBjGvZmlWXBXLNC/ym/p7CDDLy1YwxtWtUHwSYZb/HcmHdhjlE2WI+goX&#10;i/lipOiPSabx+12SnfDQk1J0FV4dnUgZiH2jGKRNSk+EHO3k5/BjlaEG0z9WJcogMD9qwA+bIUou&#10;aiRIZKPZA+jCaqANGIb3BIxW228Y9dCbFXZfd8RyjOQ7BdoKjTwZdjI2k0EUhaMV9hiN5rUfG35n&#10;rNi2gDyp9xL0V4sojacoDqqFfos5HN6G0NDP59Hr6QVb/wAAAP//AwBQSwMEFAAGAAgAAAAhAMOL&#10;2ZfhAAAACwEAAA8AAABkcnMvZG93bnJldi54bWxMjzFPwzAQhXck/oN1SCyI2iEhhRCnqioYYKkI&#10;Xbq5yTUOxHZkO2349xwTbPfunt59r1zNZmAn9KF3VkKyEMDQNq7tbSdh9/Fy+wAsRGVbNTiLEr4x&#10;wKq6vChV0bqzfcdTHTtGITYUSoKOcSw4D41Go8LCjWjpdnTeqEjSd7z16kzhZuB3QuTcqN7SB61G&#10;3GhsvurJSNhm+62+mY7Pb+ss9a+7aZN/drWU11fz+glYxDn+meEXn9ChIqaDm2wb2ED6UaRklZBn&#10;SQaMHMvknjYHGkSaA69K/r9D9QMAAP//AwBQSwECLQAUAAYACAAAACEAtoM4kv4AAADhAQAAEwAA&#10;AAAAAAAAAAAAAAAAAAAAW0NvbnRlbnRfVHlwZXNdLnhtbFBLAQItABQABgAIAAAAIQA4/SH/1gAA&#10;AJQBAAALAAAAAAAAAAAAAAAAAC8BAABfcmVscy8ucmVsc1BLAQItABQABgAIAAAAIQC7u/5KfAIA&#10;AAkFAAAOAAAAAAAAAAAAAAAAAC4CAABkcnMvZTJvRG9jLnhtbFBLAQItABQABgAIAAAAIQDDi9mX&#10;4QAAAAsBAAAPAAAAAAAAAAAAAAAAANYEAABkcnMvZG93bnJldi54bWxQSwUGAAAAAAQABADzAAAA&#10;5AUAAAAA&#10;" stroked="f">
                <v:textbox style="mso-fit-shape-to-text:t" inset="0,0,0,0">
                  <w:txbxContent>
                    <w:p w:rsidR="00B95C6A" w:rsidRPr="00FA1A31" w:rsidRDefault="00B95C6A" w:rsidP="00B95C6A">
                      <w:pPr>
                        <w:pStyle w:val="Beschriftung"/>
                        <w:rPr>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w:t>
                      </w:r>
                      <w:proofErr w:type="spellStart"/>
                      <w:r>
                        <w:t>Violettfärbung</w:t>
                      </w:r>
                      <w:proofErr w:type="spellEnd"/>
                      <w:r>
                        <w:t xml:space="preserve"> der </w:t>
                      </w:r>
                      <w:proofErr w:type="spellStart"/>
                      <w:r>
                        <w:t>Phenolphthaleinlösung</w:t>
                      </w:r>
                      <w:proofErr w:type="spellEnd"/>
                      <w:r>
                        <w:t xml:space="preserve"> bei Reaktion mit Ammoniak-Gas.</w:t>
                      </w:r>
                    </w:p>
                  </w:txbxContent>
                </v:textbox>
                <w10:wrap type="topAndBottom"/>
              </v:shape>
            </w:pict>
          </mc:Fallback>
        </mc:AlternateContent>
      </w:r>
      <w:r>
        <w:rPr>
          <w:noProof/>
          <w:lang w:eastAsia="de-DE"/>
        </w:rPr>
        <w:drawing>
          <wp:anchor distT="0" distB="0" distL="114300" distR="114300" simplePos="0" relativeHeight="251660288" behindDoc="0" locked="0" layoutInCell="1" allowOverlap="1" wp14:anchorId="7B6311C5" wp14:editId="22ADAF79">
            <wp:simplePos x="0" y="0"/>
            <wp:positionH relativeFrom="column">
              <wp:posOffset>1208405</wp:posOffset>
            </wp:positionH>
            <wp:positionV relativeFrom="paragraph">
              <wp:posOffset>1361440</wp:posOffset>
            </wp:positionV>
            <wp:extent cx="3333750" cy="2654300"/>
            <wp:effectExtent l="0" t="0" r="0" b="0"/>
            <wp:wrapTopAndBottom/>
            <wp:docPr id="205" name="Bild 205" descr="IMG_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G_240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3333750" cy="2654300"/>
                    </a:xfrm>
                    <a:prstGeom prst="rect">
                      <a:avLst/>
                    </a:prstGeom>
                    <a:noFill/>
                  </pic:spPr>
                </pic:pic>
              </a:graphicData>
            </a:graphic>
            <wp14:sizeRelH relativeFrom="page">
              <wp14:pctWidth>0</wp14:pctWidth>
            </wp14:sizeRelH>
            <wp14:sizeRelV relativeFrom="page">
              <wp14:pctHeight>0</wp14:pctHeight>
            </wp14:sizeRelV>
          </wp:anchor>
        </w:drawing>
      </w:r>
      <w:r>
        <w:t>Beobachtung:</w:t>
      </w:r>
      <w:r>
        <w:tab/>
      </w:r>
      <w:r>
        <w:tab/>
        <w:t>Im Wasserbad beginnt die Ammoniaklösung zu sieden und der Luftballon füllt sich mit Gas. Im Wasserbad wird der Luftballon langsam kleiner, obwohl keine Blasenbildung an der Öffnung zu beobachten ist. Das Wasser färbt sich nach einiger Zeit beginnend an der Membran des Luftballons violett.</w:t>
      </w:r>
    </w:p>
    <w:p w:rsidR="00B95C6A" w:rsidRDefault="00B95C6A" w:rsidP="00B95C6A">
      <w:pPr>
        <w:tabs>
          <w:tab w:val="left" w:pos="1701"/>
          <w:tab w:val="left" w:pos="1985"/>
        </w:tabs>
        <w:ind w:left="1980" w:hanging="1980"/>
      </w:pPr>
    </w:p>
    <w:p w:rsidR="00B95C6A" w:rsidRDefault="00B95C6A" w:rsidP="00B95C6A">
      <w:pPr>
        <w:tabs>
          <w:tab w:val="left" w:pos="1276"/>
          <w:tab w:val="left" w:pos="1985"/>
        </w:tabs>
        <w:ind w:left="1985" w:hanging="1985"/>
      </w:pPr>
      <w:r>
        <w:t>Deutung:</w:t>
      </w:r>
      <w:r>
        <w:tab/>
      </w:r>
      <w:r>
        <w:tab/>
        <w:t>Aufgrund des niedrigen Siedepunktes wird Ammoniak aus der Lösung gasförmig und strömt in den Luftballon. Wird der Luftballon verschlossen, diffundiert das Gas langsam durch die Membran und löst sich im Wasser, wodurch der pH-Wert größer wird. Das Phenolphthalein zeigt die alkalische Eigenschaft der Hydroxidionen im Wasser durch die Farbveränderung von farblos zu violett. Die Reaktionsgleichung lautet:</w:t>
      </w:r>
    </w:p>
    <w:p w:rsidR="00B95C6A" w:rsidRPr="005F1666" w:rsidRDefault="00B95C6A" w:rsidP="00B95C6A">
      <w:pPr>
        <w:tabs>
          <w:tab w:val="left" w:pos="1276"/>
          <w:tab w:val="left" w:pos="1985"/>
        </w:tabs>
        <w:ind w:left="1985" w:hanging="1985"/>
        <w:jc w:val="center"/>
        <w:rPr>
          <w:rFonts w:eastAsiaTheme="minorEastAsia"/>
        </w:rPr>
      </w:pPr>
      <m:oMathPara>
        <m:oMath>
          <m:sSub>
            <m:sSubPr>
              <m:ctrlPr>
                <w:rPr>
                  <w:rFonts w:ascii="Cambria Math" w:hAnsi="Cambria Math"/>
                </w:rPr>
              </m:ctrlPr>
            </m:sSub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sub>
              <m:d>
                <m:dPr>
                  <m:ctrlPr>
                    <w:rPr>
                      <w:rFonts w:ascii="Cambria Math" w:hAnsi="Cambria Math"/>
                    </w:rPr>
                  </m:ctrlPr>
                </m:dPr>
                <m:e>
                  <m:r>
                    <m:rPr>
                      <m:sty m:val="p"/>
                    </m:rPr>
                    <w:rPr>
                      <w:rFonts w:ascii="Cambria Math" w:hAnsi="Cambria Math"/>
                    </w:rPr>
                    <m:t>g</m:t>
                  </m:r>
                </m:e>
              </m:d>
            </m:sub>
          </m:sSub>
          <m:r>
            <m:rPr>
              <m:sty m:val="p"/>
            </m:rPr>
            <w:rPr>
              <w:rFonts w:ascii="Cambria Math" w:hAnsi="Cambria Math"/>
            </w:rPr>
            <m:t xml:space="preserve"> </m:t>
          </m:r>
          <m: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w:rPr>
                  <w:rFonts w:ascii="Cambria Math" w:hAnsi="Cambria Math"/>
                </w:rPr>
                <m:t>(l)</m:t>
              </m:r>
            </m:sub>
          </m:sSub>
          <m:r>
            <m:rPr>
              <m:sty m:val="p"/>
            </m:rPr>
            <w:rPr>
              <w:rFonts w:ascii="Cambria Math" w:hAnsi="Cambria Math"/>
            </w:rPr>
            <m:t xml:space="preserve"> </m:t>
          </m:r>
          <m: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e>
                <m:sup>
                  <m: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OH</m:t>
                  </m:r>
                </m:e>
                <m:sup>
                  <m: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m:t>
          </m:r>
        </m:oMath>
      </m:oMathPara>
    </w:p>
    <w:p w:rsidR="00B95C6A" w:rsidRDefault="00B95C6A" w:rsidP="00B95C6A">
      <w:pPr>
        <w:tabs>
          <w:tab w:val="left" w:pos="1276"/>
          <w:tab w:val="left" w:pos="1985"/>
        </w:tabs>
        <w:ind w:left="1985" w:hanging="1985"/>
        <w:rPr>
          <w:rFonts w:eastAsiaTheme="minorEastAsia"/>
        </w:rPr>
      </w:pPr>
      <w:r>
        <w:tab/>
      </w:r>
      <w:r>
        <w:tab/>
        <w:t>Die Gummimembran des Luftballons ist zwar für Gase der Luft weitgehend undurchlässig, das Ammoniakgas hingegen weist eine kleinere Molekülstruktur als die Bestandteile der Luft auf und kann somit schneller durch die Membran diffundieren. Anschließend wird das Ammoniakgas im Wasser gelöst.</w:t>
      </w:r>
    </w:p>
    <w:p w:rsidR="00B95C6A" w:rsidRDefault="00B95C6A" w:rsidP="00B95C6A">
      <w:pPr>
        <w:tabs>
          <w:tab w:val="left" w:pos="1985"/>
        </w:tabs>
        <w:ind w:left="1985" w:hanging="1985"/>
        <w:jc w:val="left"/>
      </w:pPr>
      <w:r>
        <w:t>Entsorgung:</w:t>
      </w:r>
      <w:r>
        <w:tab/>
        <w:t>Die wässrige Lösung und die übrig gebliebene Ammoniaklösung werden in gemäß der Entsorgung für saure und alkalische Abfälle entsorgt. Der Luftballon wird in den Müll für kontaminierte Feststoffe gegeben.</w:t>
      </w:r>
    </w:p>
    <w:p w:rsidR="00B95C6A" w:rsidRDefault="00B95C6A" w:rsidP="00B95C6A">
      <w:pPr>
        <w:ind w:left="1985" w:hanging="1985"/>
        <w:jc w:val="left"/>
        <w:rPr>
          <w:rFonts w:asciiTheme="majorHAnsi" w:hAnsiTheme="majorHAnsi"/>
        </w:rPr>
      </w:pPr>
      <w:r>
        <w:lastRenderedPageBreak/>
        <w:t>Literatur:</w:t>
      </w:r>
      <w:r>
        <w:tab/>
      </w:r>
      <w:proofErr w:type="spellStart"/>
      <w:r>
        <w:t>Schmidkunz</w:t>
      </w:r>
      <w:proofErr w:type="spellEnd"/>
      <w:r>
        <w:t xml:space="preserve">, Heinz; Rentsch, Werner (2011): Chemische Freihandversuche. Kleine Versuche mit großer Wirkung. Köln: </w:t>
      </w:r>
      <w:proofErr w:type="spellStart"/>
      <w:r>
        <w:t>Aulis</w:t>
      </w:r>
      <w:proofErr w:type="spellEnd"/>
      <w:r>
        <w:t>. S. 28</w:t>
      </w:r>
    </w:p>
    <w:p w:rsidR="00B95C6A" w:rsidRPr="00395B7A" w:rsidRDefault="00B95C6A" w:rsidP="00B95C6A">
      <w:bookmarkStart w:id="4" w:name="_GoBack"/>
      <w:bookmarkEnd w:id="4"/>
    </w:p>
    <w:p w:rsidR="00ED41A2" w:rsidRDefault="00B95C6A" w:rsidP="00B95C6A">
      <w:pPr>
        <w:tabs>
          <w:tab w:val="left" w:pos="1701"/>
          <w:tab w:val="left" w:pos="1985"/>
        </w:tabs>
        <w:ind w:left="1980" w:hanging="1980"/>
      </w:pPr>
      <w:r>
        <w:rPr>
          <w:noProof/>
          <w:lang w:eastAsia="de-DE"/>
        </w:rPr>
        <mc:AlternateContent>
          <mc:Choice Requires="wps">
            <w:drawing>
              <wp:inline distT="0" distB="0" distL="0" distR="0" wp14:anchorId="7C318700" wp14:editId="1315073C">
                <wp:extent cx="5873115" cy="1502796"/>
                <wp:effectExtent l="0" t="0" r="13335" b="21590"/>
                <wp:docPr id="4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02796"/>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5C6A" w:rsidRDefault="00B95C6A" w:rsidP="00B95C6A">
                            <w:pPr>
                              <w:rPr>
                                <w:color w:val="auto"/>
                              </w:rPr>
                            </w:pPr>
                            <w:r w:rsidRPr="00F31EBF">
                              <w:rPr>
                                <w:b/>
                                <w:color w:val="auto"/>
                              </w:rPr>
                              <w:t>Unterrichtsanschlüsse</w:t>
                            </w:r>
                            <w:r>
                              <w:rPr>
                                <w:b/>
                                <w:color w:val="auto"/>
                              </w:rPr>
                              <w:t>:</w:t>
                            </w:r>
                            <w:r w:rsidRPr="00580AF4">
                              <w:rPr>
                                <w:color w:val="auto"/>
                              </w:rPr>
                              <w:t xml:space="preserve"> </w:t>
                            </w:r>
                            <w:r>
                              <w:rPr>
                                <w:color w:val="auto"/>
                              </w:rPr>
                              <w:t>Die Diffusionsprozesse werden anschaulich dargestellt und können im Teilchenmodell auf submikroskopischer Ebene gedeutet werden. Anders als einen mit Luft gefüllten Ballon beim Schrumpfen zu beobachten, bietet dieser Versuch die Möglichkeit den Diffusionsprozess zügiger zu Beobachten. Außerdem kann über alkalische Reaktion die Diffusion des Ammoniakgases indirekt sichtbar gemacht werden. Die Verfärbung von Phenolphthalein muss reduziert werden auf einen Nachweis dafür, dass sich Ammoniak-Gas im Wasser gelöst hat.</w:t>
                            </w:r>
                          </w:p>
                          <w:p w:rsidR="00B95C6A" w:rsidRDefault="00B95C6A" w:rsidP="00B95C6A">
                            <w:pPr>
                              <w:rPr>
                                <w:color w:val="auto"/>
                              </w:rPr>
                            </w:pPr>
                          </w:p>
                        </w:txbxContent>
                      </wps:txbx>
                      <wps:bodyPr rot="0" vert="horz" wrap="square" lIns="91440" tIns="45720" rIns="91440" bIns="45720" anchor="t" anchorCtr="0" upright="1">
                        <a:noAutofit/>
                      </wps:bodyPr>
                    </wps:wsp>
                  </a:graphicData>
                </a:graphic>
              </wp:inline>
            </w:drawing>
          </mc:Choice>
          <mc:Fallback>
            <w:pict>
              <v:shape w14:anchorId="7C318700" id="Text Box 234" o:spid="_x0000_s1028" type="#_x0000_t202" style="width:462.45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w08QIAADQGAAAOAAAAZHJzL2Uyb0RvYy54bWysVNuO2jAQfa/Uf7D8zuZCIGy0YQUsVJV6&#10;k3arPhvbIVYdO7UNybbqv3fsAEu7D62qBSny+HJmzsycubntG4kO3FihVYmTqxgjrqhmQu1K/Plh&#10;M5phZB1RjEiteIkfucW389evbrq24KmutWTcIABRtujaEtfOtUUUWVrzhtgr3XIFh5U2DXFgml3E&#10;DOkAvZFRGsfTqNOGtUZTbi3s3g2HeB7wq4pT97GqLHdIlhhic+Frwnfrv9H8hhQ7Q9pa0GMY5D+i&#10;aIhQ4PQMdUccQXsjnkE1ghptdeWuqG4iXVWC8sAB2CTxH2zua9LywAWSY9tzmuzLwdIPh08GCVbi&#10;DCqlSAM1euC9Q0vdo3Sc+QR1rS3g3n0LN10PB1DoQNa27zT9apHSq5qoHV8Yo7uaEwYBJv5ldPF0&#10;wLEeZNu91wwckb3TAaivTOOzB/lAgA6FejwXxwdDYXMyy8dJMsGIwlkyidP8ehp8kOL0vDXWveG6&#10;QX5RYgPVD/Dk8M46Hw4pTle8N6ulYBshZTB8x/GVNOhAoFekGyjKfQOxDntJ7H9Dy8A+NNawH7YA&#10;OzSthwiefkOXCnUQdZrD+7+5JpRy5dJw74Xce9Z3xNZDvAxWA4tGOFCfFE2JZxfkfAnXigVtOCLk&#10;sAaGUvngedDVkFKwegfLsA+VCj3/Y7GZxHk2no3yfDIeZeN1PFrONqvRYpVMp/l6uVquk5+eYJIV&#10;tWCMq3XAtCcJJtm/tfhxGAziOYvwHKCPSu+B433NOsSE74rx5DpNMBgwBXw9fEkRkTsYX9QZjIx2&#10;X4Srg/Z8E3oMa3bbc2vMpv5/bL0zeqj5hePoGbfhRg+pgkyeshYU4kUxyMP12z6oMfX4Xj1bzR5B&#10;MhBV0AWMWljU2nzHqIOxVWL7bU8Mx0i+VSC76yTL/JwLRjbJUzDM5cn28oQoClAldpCBsFy5YTbu&#10;WyN2NXgaVKD0AqRaiSCip6iAiTdgNAVOxzHqZ9+lHW49Dfv5LwAAAP//AwBQSwMEFAAGAAgAAAAh&#10;AGcVAlHcAAAABQEAAA8AAABkcnMvZG93bnJldi54bWxMj8FOwzAQRO9I/IO1SNyokxQVmsapAKl3&#10;aCoVbtt4G0eJ11HstoGvx3CBy0qjGc28LdaT7cWZRt86VpDOEhDEtdMtNwp21ebuEYQPyBp7x6Tg&#10;kzysy+urAnPtLvxG521oRCxhn6MCE8KQS+lrQxb9zA3E0Tu60WKIcmykHvESy20vsyRZSIstxwWD&#10;A70YqrvtySro+v0zfqTNPN3s3veVoS/dvVZK3d5MTysQgabwF4Yf/IgOZWQ6uBNrL3oF8ZHwe6O3&#10;zO6XIA4KsvniAWRZyP/05TcAAAD//wMAUEsBAi0AFAAGAAgAAAAhALaDOJL+AAAA4QEAABMAAAAA&#10;AAAAAAAAAAAAAAAAAFtDb250ZW50X1R5cGVzXS54bWxQSwECLQAUAAYACAAAACEAOP0h/9YAAACU&#10;AQAACwAAAAAAAAAAAAAAAAAvAQAAX3JlbHMvLnJlbHNQSwECLQAUAAYACAAAACEAiqAMNPECAAA0&#10;BgAADgAAAAAAAAAAAAAAAAAuAgAAZHJzL2Uyb0RvYy54bWxQSwECLQAUAAYACAAAACEAZxUCUdwA&#10;AAAFAQAADwAAAAAAAAAAAAAAAABLBQAAZHJzL2Rvd25yZXYueG1sUEsFBgAAAAAEAAQA8wAAAFQG&#10;AAAAAA==&#10;" fillcolor="white [3201]" strokecolor="#ed7d31 [3205]" strokeweight="1pt">
                <v:stroke dashstyle="dash"/>
                <v:shadow color="#868686"/>
                <v:textbox>
                  <w:txbxContent>
                    <w:p w:rsidR="00B95C6A" w:rsidRDefault="00B95C6A" w:rsidP="00B95C6A">
                      <w:pPr>
                        <w:rPr>
                          <w:color w:val="auto"/>
                        </w:rPr>
                      </w:pPr>
                      <w:r w:rsidRPr="00F31EBF">
                        <w:rPr>
                          <w:b/>
                          <w:color w:val="auto"/>
                        </w:rPr>
                        <w:t>Unterrichtsanschlüsse</w:t>
                      </w:r>
                      <w:r>
                        <w:rPr>
                          <w:b/>
                          <w:color w:val="auto"/>
                        </w:rPr>
                        <w:t>:</w:t>
                      </w:r>
                      <w:r w:rsidRPr="00580AF4">
                        <w:rPr>
                          <w:color w:val="auto"/>
                        </w:rPr>
                        <w:t xml:space="preserve"> </w:t>
                      </w:r>
                      <w:r>
                        <w:rPr>
                          <w:color w:val="auto"/>
                        </w:rPr>
                        <w:t>Die Diffusionsprozesse werden anschaulich dargestellt und können im Teilchenmodell auf submikroskopischer Ebene gedeutet werden. Anders als einen mit Luft gefüllten Ballon beim Schrumpfen zu beobachten, bietet dieser Versuch die Möglichkeit den Diffusionsprozess zügiger zu Beobachten. Außerdem kann über alkalische Reaktion die Diffusion des Ammoniakgases indirekt sichtbar gemacht werden. Die Verfärbung von Phenolphthalein muss reduziert werden auf einen Nachweis dafür, dass sich Ammoniak-Gas im Wasser gelöst hat.</w:t>
                      </w:r>
                    </w:p>
                    <w:p w:rsidR="00B95C6A" w:rsidRDefault="00B95C6A" w:rsidP="00B95C6A">
                      <w:pPr>
                        <w:rPr>
                          <w:color w:val="auto"/>
                        </w:rPr>
                      </w:pPr>
                    </w:p>
                  </w:txbxContent>
                </v:textbox>
                <w10:anchorlock/>
              </v:shape>
            </w:pict>
          </mc:Fallback>
        </mc:AlternateContent>
      </w:r>
    </w:p>
    <w:sectPr w:rsidR="00ED41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A"/>
    <w:rsid w:val="00074926"/>
    <w:rsid w:val="000D1C49"/>
    <w:rsid w:val="00656137"/>
    <w:rsid w:val="00B95C6A"/>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4291"/>
  <w15:chartTrackingRefBased/>
  <w15:docId w15:val="{534EC7B9-7E05-4AFB-9FD6-CFD1D00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95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B95C6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95C6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95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5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95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95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95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5C6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95C6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95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95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95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95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95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5C6A"/>
    <w:pPr>
      <w:spacing w:line="240" w:lineRule="auto"/>
    </w:pPr>
    <w:rPr>
      <w:bCs/>
      <w:color w:val="auto"/>
      <w:sz w:val="18"/>
      <w:szCs w:val="18"/>
    </w:rPr>
  </w:style>
  <w:style w:type="character" w:styleId="Hyperlink">
    <w:name w:val="Hyperlink"/>
    <w:basedOn w:val="Absatz-Standardschriftart"/>
    <w:uiPriority w:val="99"/>
    <w:unhideWhenUsed/>
    <w:rsid w:val="00B95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e.wikipedia.org/wiki/H-_und_P-S%C3%A4tze"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2.jpeg"/><Relationship Id="rId5" Type="http://schemas.openxmlformats.org/officeDocument/2006/relationships/hyperlink" Target="http://de.wikipedia.org/wiki/H-_und_P-S%C3%A4tze" TargetMode="Externa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1</cp:revision>
  <dcterms:created xsi:type="dcterms:W3CDTF">2016-08-09T09:26:00Z</dcterms:created>
  <dcterms:modified xsi:type="dcterms:W3CDTF">2016-08-09T09:27:00Z</dcterms:modified>
</cp:coreProperties>
</file>