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3A" w:rsidRDefault="00DB3EE7">
      <w:pPr>
        <w:pStyle w:val="berschrift2"/>
      </w:pPr>
      <w:bookmarkStart w:id="0" w:name="_Toc458502453"/>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391162</wp:posOffset>
                </wp:positionV>
                <wp:extent cx="5873118" cy="1019171"/>
                <wp:effectExtent l="0" t="0" r="13332" b="9529"/>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019171"/>
                        </a:xfrm>
                        <a:prstGeom prst="rect">
                          <a:avLst/>
                        </a:prstGeom>
                        <a:solidFill>
                          <a:srgbClr val="FFFFFF"/>
                        </a:solidFill>
                        <a:ln w="12701">
                          <a:solidFill>
                            <a:srgbClr val="4472C4"/>
                          </a:solidFill>
                          <a:prstDash val="dash"/>
                        </a:ln>
                      </wps:spPr>
                      <wps:txbx>
                        <w:txbxContent>
                          <w:p w:rsidR="0030343A" w:rsidRDefault="00DB3EE7">
                            <w:r>
                              <w:rPr>
                                <w:color w:val="auto"/>
                              </w:rPr>
                              <w:t xml:space="preserve">In diesem Showversuch als Einführung ins Thema wird der Energieumsatz bei der chemischen Reaktion von Natrium mit Wasser als Lichtfunken und Zischen sichtbar. </w:t>
                            </w:r>
                            <w:r>
                              <w:rPr>
                                <w:color w:val="000000"/>
                              </w:rPr>
                              <w:t xml:space="preserve">Den SuS sollte der </w:t>
                            </w:r>
                            <w:r>
                              <w:rPr>
                                <w:color w:val="000000"/>
                              </w:rPr>
                              <w:t xml:space="preserve">Indikator Phenolphthalein und dessen Einsatzbereich bekannt sein, um aus den Beobachtungen eine Wortgleichung aufstellen zu können.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0.8pt;width:462.45pt;height:80.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" strokecolor="#4472c4" strokeweight=".35281mm">
                <v:stroke dashstyle="dash"/>
                <v:textbox>
                  <w:txbxContent>
                    <w:p w:rsidR="0030343A" w:rsidRDefault="00DB3EE7">
                      <w:r>
                        <w:rPr>
                          <w:color w:val="auto"/>
                        </w:rPr>
                        <w:t xml:space="preserve">In diesem Showversuch als Einführung ins Thema wird der Energieumsatz bei der chemischen Reaktion von Natrium mit Wasser als Lichtfunken und Zischen sichtbar. </w:t>
                      </w:r>
                      <w:r>
                        <w:rPr>
                          <w:color w:val="000000"/>
                        </w:rPr>
                        <w:t xml:space="preserve">Den SuS sollte der </w:t>
                      </w:r>
                      <w:r>
                        <w:rPr>
                          <w:color w:val="000000"/>
                        </w:rPr>
                        <w:t xml:space="preserve">Indikator Phenolphthalein und dessen Einsatzbereich bekannt sein, um aus den Beobachtungen eine Wortgleichung aufstellen zu können. </w:t>
                      </w:r>
                    </w:p>
                  </w:txbxContent>
                </v:textbox>
                <w10:wrap type="square" anchorx="margin"/>
              </v:shape>
            </w:pict>
          </mc:Fallback>
        </mc:AlternateContent>
      </w:r>
      <w:r>
        <w:t xml:space="preserve">V1 – </w:t>
      </w:r>
      <w:bookmarkStart w:id="2" w:name="_Toc425776595"/>
      <w:bookmarkStart w:id="3" w:name="_Toc456688591"/>
      <w:bookmarkStart w:id="4" w:name="_Toc456688607"/>
      <w:bookmarkEnd w:id="2"/>
      <w:bookmarkEnd w:id="3"/>
      <w:bookmarkEnd w:id="4"/>
      <w:r>
        <w:t>Pink Panther im Klassenzimmer</w:t>
      </w:r>
      <w:bookmarkEnd w:id="0"/>
      <w:r>
        <w:t xml:space="preserve"> </w:t>
      </w:r>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30343A">
        <w:tblPrEx>
          <w:tblCellMar>
            <w:top w:w="0" w:type="dxa"/>
            <w:bottom w:w="0" w:type="dxa"/>
          </w:tblCellMar>
        </w:tblPrEx>
        <w:tc>
          <w:tcPr>
            <w:tcW w:w="9322" w:type="dxa"/>
            <w:gridSpan w:val="9"/>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30343A" w:rsidRDefault="00DB3EE7">
            <w:pPr>
              <w:spacing w:after="0"/>
              <w:jc w:val="center"/>
              <w:rPr>
                <w:b/>
                <w:bCs/>
                <w:color w:val="FFFFFF"/>
              </w:rPr>
            </w:pPr>
            <w:r>
              <w:rPr>
                <w:b/>
                <w:bCs/>
                <w:color w:val="FFFFFF"/>
              </w:rPr>
              <w:t>Gefahrenstoffe</w:t>
            </w:r>
          </w:p>
        </w:tc>
      </w:tr>
      <w:tr w:rsidR="0030343A">
        <w:tblPrEx>
          <w:tblCellMar>
            <w:top w:w="0" w:type="dxa"/>
            <w:bottom w:w="0" w:type="dxa"/>
          </w:tblCellMar>
        </w:tblPrEx>
        <w:trPr>
          <w:trHeight w:val="437"/>
        </w:trPr>
        <w:tc>
          <w:tcPr>
            <w:tcW w:w="3027" w:type="dxa"/>
            <w:gridSpan w:val="3"/>
            <w:tcBorders>
              <w:top w:val="single" w:sz="8" w:space="0" w:color="4F81BD"/>
              <w:left w:val="single" w:sz="8" w:space="0" w:color="4F81BD"/>
              <w:bottom w:val="single" w:sz="4" w:space="0" w:color="000000"/>
            </w:tcBorders>
            <w:shd w:val="clear" w:color="auto" w:fill="auto"/>
            <w:tcMar>
              <w:top w:w="0" w:type="dxa"/>
              <w:left w:w="108" w:type="dxa"/>
              <w:bottom w:w="0" w:type="dxa"/>
              <w:right w:w="108" w:type="dxa"/>
            </w:tcMar>
            <w:vAlign w:val="center"/>
          </w:tcPr>
          <w:p w:rsidR="0030343A" w:rsidRDefault="00DB3EE7">
            <w:pPr>
              <w:spacing w:after="0" w:line="276" w:lineRule="auto"/>
              <w:jc w:val="center"/>
            </w:pPr>
            <w:r>
              <w:rPr>
                <w:sz w:val="20"/>
              </w:rPr>
              <w:t xml:space="preserve">Wasser </w:t>
            </w:r>
          </w:p>
        </w:tc>
        <w:tc>
          <w:tcPr>
            <w:tcW w:w="3177" w:type="dxa"/>
            <w:gridSpan w:val="3"/>
            <w:tcBorders>
              <w:top w:val="single" w:sz="8" w:space="0" w:color="4F81BD"/>
              <w:bottom w:val="single" w:sz="4" w:space="0" w:color="000000"/>
            </w:tcBorders>
            <w:shd w:val="clear" w:color="auto" w:fill="auto"/>
            <w:tcMar>
              <w:top w:w="0" w:type="dxa"/>
              <w:left w:w="108" w:type="dxa"/>
              <w:bottom w:w="0" w:type="dxa"/>
              <w:right w:w="108" w:type="dxa"/>
            </w:tcMar>
            <w:vAlign w:val="center"/>
          </w:tcPr>
          <w:p w:rsidR="0030343A" w:rsidRDefault="00DB3EE7">
            <w:pPr>
              <w:spacing w:after="0"/>
              <w:jc w:val="left"/>
            </w:pPr>
            <w:r>
              <w:rPr>
                <w:sz w:val="20"/>
              </w:rPr>
              <w:t xml:space="preserve">H: </w:t>
            </w:r>
            <w:r>
              <w:t>-</w:t>
            </w:r>
          </w:p>
        </w:tc>
        <w:tc>
          <w:tcPr>
            <w:tcW w:w="3118" w:type="dxa"/>
            <w:gridSpan w:val="3"/>
            <w:tcBorders>
              <w:top w:val="single" w:sz="8" w:space="0" w:color="4F81BD"/>
              <w:bottom w:val="single" w:sz="4" w:space="0" w:color="000000"/>
              <w:right w:val="single" w:sz="8" w:space="0" w:color="4F81BD"/>
            </w:tcBorders>
            <w:shd w:val="clear" w:color="auto" w:fill="auto"/>
            <w:tcMar>
              <w:top w:w="0" w:type="dxa"/>
              <w:left w:w="108" w:type="dxa"/>
              <w:bottom w:w="0" w:type="dxa"/>
              <w:right w:w="108" w:type="dxa"/>
            </w:tcMar>
            <w:vAlign w:val="center"/>
          </w:tcPr>
          <w:p w:rsidR="0030343A" w:rsidRDefault="00DB3EE7">
            <w:pPr>
              <w:spacing w:after="0"/>
              <w:jc w:val="left"/>
            </w:pPr>
            <w:r>
              <w:rPr>
                <w:sz w:val="20"/>
              </w:rPr>
              <w:t xml:space="preserve">P: </w:t>
            </w:r>
            <w:r>
              <w:t>-</w:t>
            </w:r>
          </w:p>
        </w:tc>
      </w:tr>
      <w:tr w:rsidR="0030343A">
        <w:tblPrEx>
          <w:tblCellMar>
            <w:top w:w="0" w:type="dxa"/>
            <w:bottom w:w="0" w:type="dxa"/>
          </w:tblCellMar>
        </w:tblPrEx>
        <w:trPr>
          <w:trHeight w:val="434"/>
        </w:trPr>
        <w:tc>
          <w:tcPr>
            <w:tcW w:w="3027" w:type="dxa"/>
            <w:gridSpan w:val="3"/>
            <w:tcBorders>
              <w:top w:val="single" w:sz="4" w:space="0" w:color="000000"/>
              <w:left w:val="single" w:sz="8" w:space="0" w:color="4F81BD"/>
              <w:bottom w:val="single" w:sz="4" w:space="0" w:color="000000"/>
            </w:tcBorders>
            <w:shd w:val="clear" w:color="auto" w:fill="auto"/>
            <w:tcMar>
              <w:top w:w="0" w:type="dxa"/>
              <w:left w:w="108" w:type="dxa"/>
              <w:bottom w:w="0" w:type="dxa"/>
              <w:right w:w="108" w:type="dxa"/>
            </w:tcMar>
            <w:vAlign w:val="center"/>
          </w:tcPr>
          <w:p w:rsidR="0030343A" w:rsidRDefault="00DB3EE7">
            <w:pPr>
              <w:spacing w:after="0" w:line="276" w:lineRule="auto"/>
              <w:jc w:val="center"/>
            </w:pPr>
            <w:r>
              <w:rPr>
                <w:color w:val="auto"/>
                <w:sz w:val="20"/>
                <w:szCs w:val="20"/>
              </w:rPr>
              <w:t xml:space="preserve">Natrium </w:t>
            </w:r>
          </w:p>
        </w:tc>
        <w:tc>
          <w:tcPr>
            <w:tcW w:w="3177"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rsidR="0030343A" w:rsidRDefault="00DB3EE7">
            <w:pPr>
              <w:pStyle w:val="Beschriftung"/>
              <w:spacing w:after="0"/>
              <w:jc w:val="left"/>
            </w:pPr>
            <w:r>
              <w:rPr>
                <w:sz w:val="20"/>
              </w:rPr>
              <w:t xml:space="preserve">H: </w:t>
            </w:r>
            <w:r>
              <w:t>216, 314</w:t>
            </w:r>
          </w:p>
        </w:tc>
        <w:tc>
          <w:tcPr>
            <w:tcW w:w="3118" w:type="dxa"/>
            <w:gridSpan w:val="3"/>
            <w:tcBorders>
              <w:top w:val="single" w:sz="4" w:space="0" w:color="000000"/>
              <w:bottom w:val="single" w:sz="4" w:space="0" w:color="000000"/>
              <w:right w:val="single" w:sz="8" w:space="0" w:color="4F81BD"/>
            </w:tcBorders>
            <w:shd w:val="clear" w:color="auto" w:fill="auto"/>
            <w:tcMar>
              <w:top w:w="0" w:type="dxa"/>
              <w:left w:w="108" w:type="dxa"/>
              <w:bottom w:w="0" w:type="dxa"/>
              <w:right w:w="108" w:type="dxa"/>
            </w:tcMar>
            <w:vAlign w:val="center"/>
          </w:tcPr>
          <w:p w:rsidR="0030343A" w:rsidRDefault="00DB3EE7">
            <w:pPr>
              <w:pStyle w:val="Beschriftung"/>
              <w:spacing w:after="0"/>
              <w:jc w:val="left"/>
              <w:rPr>
                <w:sz w:val="20"/>
              </w:rPr>
            </w:pPr>
            <w:r>
              <w:rPr>
                <w:sz w:val="20"/>
              </w:rPr>
              <w:t xml:space="preserve">P: </w:t>
            </w:r>
            <w:r>
              <w:rPr>
                <w:sz w:val="20"/>
              </w:rPr>
              <w:t>280​‐​301+330+331​‐​305+351+338-309​‐​310​‐​370+378‐​422</w:t>
            </w:r>
          </w:p>
        </w:tc>
      </w:tr>
      <w:tr w:rsidR="0030343A">
        <w:tblPrEx>
          <w:tblCellMar>
            <w:top w:w="0" w:type="dxa"/>
            <w:bottom w:w="0" w:type="dxa"/>
          </w:tblCellMar>
        </w:tblPrEx>
        <w:trPr>
          <w:trHeight w:val="434"/>
        </w:trPr>
        <w:tc>
          <w:tcPr>
            <w:tcW w:w="3027" w:type="dxa"/>
            <w:gridSpan w:val="3"/>
            <w:tcBorders>
              <w:top w:val="single" w:sz="4" w:space="0" w:color="000000"/>
              <w:left w:val="single" w:sz="8" w:space="0" w:color="4F81BD"/>
              <w:bottom w:val="single" w:sz="4" w:space="0" w:color="000000"/>
            </w:tcBorders>
            <w:shd w:val="clear" w:color="auto" w:fill="auto"/>
            <w:tcMar>
              <w:top w:w="0" w:type="dxa"/>
              <w:left w:w="108" w:type="dxa"/>
              <w:bottom w:w="0" w:type="dxa"/>
              <w:right w:w="108" w:type="dxa"/>
            </w:tcMar>
            <w:vAlign w:val="center"/>
          </w:tcPr>
          <w:p w:rsidR="0030343A" w:rsidRDefault="00DB3EE7">
            <w:pPr>
              <w:spacing w:after="0" w:line="276" w:lineRule="auto"/>
              <w:jc w:val="center"/>
              <w:rPr>
                <w:color w:val="auto"/>
                <w:sz w:val="20"/>
                <w:szCs w:val="20"/>
              </w:rPr>
            </w:pPr>
            <w:r>
              <w:rPr>
                <w:color w:val="auto"/>
                <w:sz w:val="20"/>
                <w:szCs w:val="20"/>
              </w:rPr>
              <w:t>Phenolphtalein</w:t>
            </w:r>
          </w:p>
        </w:tc>
        <w:tc>
          <w:tcPr>
            <w:tcW w:w="3177"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rsidR="0030343A" w:rsidRDefault="00DB3EE7">
            <w:pPr>
              <w:pStyle w:val="Beschriftung"/>
              <w:spacing w:after="0"/>
              <w:jc w:val="left"/>
              <w:rPr>
                <w:sz w:val="20"/>
              </w:rPr>
            </w:pPr>
            <w:r>
              <w:rPr>
                <w:sz w:val="20"/>
              </w:rPr>
              <w:t xml:space="preserve">H: 341, 350, 361f  </w:t>
            </w:r>
          </w:p>
        </w:tc>
        <w:tc>
          <w:tcPr>
            <w:tcW w:w="3118" w:type="dxa"/>
            <w:gridSpan w:val="3"/>
            <w:tcBorders>
              <w:top w:val="single" w:sz="4" w:space="0" w:color="000000"/>
              <w:bottom w:val="single" w:sz="4" w:space="0" w:color="000000"/>
              <w:right w:val="single" w:sz="8" w:space="0" w:color="4F81BD"/>
            </w:tcBorders>
            <w:shd w:val="clear" w:color="auto" w:fill="auto"/>
            <w:tcMar>
              <w:top w:w="0" w:type="dxa"/>
              <w:left w:w="108" w:type="dxa"/>
              <w:bottom w:w="0" w:type="dxa"/>
              <w:right w:w="108" w:type="dxa"/>
            </w:tcMar>
            <w:vAlign w:val="center"/>
          </w:tcPr>
          <w:p w:rsidR="0030343A" w:rsidRDefault="00DB3EE7">
            <w:pPr>
              <w:pStyle w:val="Beschriftung"/>
              <w:spacing w:after="0"/>
              <w:jc w:val="left"/>
              <w:rPr>
                <w:sz w:val="20"/>
              </w:rPr>
            </w:pPr>
            <w:r>
              <w:rPr>
                <w:sz w:val="20"/>
              </w:rPr>
              <w:t xml:space="preserve">P: 260, 264, 280.1-3,5,7, 308+313, 405    </w:t>
            </w:r>
          </w:p>
        </w:tc>
      </w:tr>
      <w:tr w:rsidR="0030343A">
        <w:tblPrEx>
          <w:tblCellMar>
            <w:top w:w="0" w:type="dxa"/>
            <w:bottom w:w="0" w:type="dxa"/>
          </w:tblCellMar>
        </w:tblPrEx>
        <w:trPr>
          <w:trHeight w:val="434"/>
        </w:trPr>
        <w:tc>
          <w:tcPr>
            <w:tcW w:w="3027" w:type="dxa"/>
            <w:gridSpan w:val="3"/>
            <w:tcBorders>
              <w:top w:val="single" w:sz="4" w:space="0" w:color="000000"/>
              <w:left w:val="single" w:sz="8" w:space="0" w:color="4F81BD"/>
              <w:bottom w:val="single" w:sz="4" w:space="0" w:color="000000"/>
            </w:tcBorders>
            <w:shd w:val="clear" w:color="auto" w:fill="auto"/>
            <w:tcMar>
              <w:top w:w="0" w:type="dxa"/>
              <w:left w:w="108" w:type="dxa"/>
              <w:bottom w:w="0" w:type="dxa"/>
              <w:right w:w="108" w:type="dxa"/>
            </w:tcMar>
            <w:vAlign w:val="center"/>
          </w:tcPr>
          <w:p w:rsidR="0030343A" w:rsidRDefault="00DB3EE7">
            <w:pPr>
              <w:spacing w:after="0" w:line="276" w:lineRule="auto"/>
              <w:jc w:val="center"/>
              <w:rPr>
                <w:color w:val="auto"/>
                <w:sz w:val="20"/>
                <w:szCs w:val="20"/>
              </w:rPr>
            </w:pPr>
            <w:r>
              <w:rPr>
                <w:color w:val="auto"/>
                <w:sz w:val="20"/>
                <w:szCs w:val="20"/>
              </w:rPr>
              <w:t xml:space="preserve">Natronlauge </w:t>
            </w:r>
          </w:p>
        </w:tc>
        <w:tc>
          <w:tcPr>
            <w:tcW w:w="3177"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rsidR="0030343A" w:rsidRDefault="00DB3EE7">
            <w:pPr>
              <w:pStyle w:val="Beschriftung"/>
              <w:spacing w:after="0"/>
              <w:jc w:val="left"/>
              <w:rPr>
                <w:sz w:val="20"/>
              </w:rPr>
            </w:pPr>
            <w:r>
              <w:rPr>
                <w:sz w:val="20"/>
              </w:rPr>
              <w:t xml:space="preserve">H: 315, 319, 290  </w:t>
            </w:r>
          </w:p>
        </w:tc>
        <w:tc>
          <w:tcPr>
            <w:tcW w:w="3118" w:type="dxa"/>
            <w:gridSpan w:val="3"/>
            <w:tcBorders>
              <w:top w:val="single" w:sz="4" w:space="0" w:color="000000"/>
              <w:bottom w:val="single" w:sz="4" w:space="0" w:color="000000"/>
              <w:right w:val="single" w:sz="8" w:space="0" w:color="4F81BD"/>
            </w:tcBorders>
            <w:shd w:val="clear" w:color="auto" w:fill="auto"/>
            <w:tcMar>
              <w:top w:w="0" w:type="dxa"/>
              <w:left w:w="108" w:type="dxa"/>
              <w:bottom w:w="0" w:type="dxa"/>
              <w:right w:w="108" w:type="dxa"/>
            </w:tcMar>
            <w:vAlign w:val="center"/>
          </w:tcPr>
          <w:p w:rsidR="0030343A" w:rsidRDefault="00DB3EE7">
            <w:pPr>
              <w:pStyle w:val="Beschriftung"/>
              <w:spacing w:after="0"/>
              <w:jc w:val="left"/>
              <w:rPr>
                <w:sz w:val="20"/>
              </w:rPr>
            </w:pPr>
            <w:r>
              <w:rPr>
                <w:sz w:val="20"/>
              </w:rPr>
              <w:t xml:space="preserve">P: 280, 301+330+331, 305+351+338, 308+310    </w:t>
            </w:r>
          </w:p>
        </w:tc>
      </w:tr>
      <w:tr w:rsidR="0030343A">
        <w:tblPrEx>
          <w:tblCellMar>
            <w:top w:w="0" w:type="dxa"/>
            <w:bottom w:w="0" w:type="dxa"/>
          </w:tblCellMar>
        </w:tblPrEx>
        <w:tc>
          <w:tcPr>
            <w:tcW w:w="1009" w:type="dxa"/>
            <w:tcBorders>
              <w:top w:val="single" w:sz="4" w:space="0" w:color="000000"/>
              <w:left w:val="single" w:sz="8" w:space="0" w:color="4F81BD"/>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b/>
                <w:bCs/>
                <w:noProof/>
                <w:lang w:eastAsia="de-DE"/>
              </w:rPr>
              <w:drawing>
                <wp:inline distT="0" distB="0" distL="0" distR="0">
                  <wp:extent cx="514350" cy="514350"/>
                  <wp:effectExtent l="0" t="0" r="0" b="0"/>
                  <wp:docPr id="2" name="Grafik 1" descr="C:\Users\Caro\Desktop\SVP\Piktogramme\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4350" cy="514350"/>
                          </a:xfrm>
                          <a:prstGeom prst="rect">
                            <a:avLst/>
                          </a:prstGeom>
                          <a:noFill/>
                          <a:ln>
                            <a:noFill/>
                            <a:prstDash/>
                          </a:ln>
                        </pic:spPr>
                      </pic:pic>
                    </a:graphicData>
                  </a:graphic>
                </wp:inline>
              </w:drawing>
            </w:r>
          </w:p>
        </w:tc>
        <w:tc>
          <w:tcPr>
            <w:tcW w:w="1009" w:type="dxa"/>
            <w:tcBorders>
              <w:top w:val="single" w:sz="4" w:space="0" w:color="000000"/>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04191" cy="504191"/>
                  <wp:effectExtent l="0" t="0" r="0" b="0"/>
                  <wp:docPr id="3" name="Grafik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4" w:space="0" w:color="000000"/>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61971" cy="561971"/>
                  <wp:effectExtent l="0" t="0" r="0" b="0"/>
                  <wp:docPr id="4" name="Grafik 58" descr="C:\Users\Caro\Desktop\SVP\Piktogramme\Brennba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flipH="1">
                            <a:off x="0" y="0"/>
                            <a:ext cx="561971" cy="561971"/>
                          </a:xfrm>
                          <a:prstGeom prst="rect">
                            <a:avLst/>
                          </a:prstGeom>
                          <a:noFill/>
                          <a:ln>
                            <a:noFill/>
                            <a:prstDash/>
                          </a:ln>
                        </pic:spPr>
                      </pic:pic>
                    </a:graphicData>
                  </a:graphic>
                </wp:inline>
              </w:drawing>
            </w:r>
          </w:p>
        </w:tc>
        <w:tc>
          <w:tcPr>
            <w:tcW w:w="1009" w:type="dxa"/>
            <w:tcBorders>
              <w:top w:val="single" w:sz="4" w:space="0" w:color="000000"/>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04191" cy="504191"/>
                  <wp:effectExtent l="0" t="0" r="0" b="0"/>
                  <wp:docPr id="5" name="Grafi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4" w:space="0" w:color="000000"/>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04191" cy="504191"/>
                  <wp:effectExtent l="0" t="0" r="0" b="0"/>
                  <wp:docPr id="6" name="Grafik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4" w:space="0" w:color="000000"/>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71500" cy="571500"/>
                  <wp:effectExtent l="0" t="0" r="0" b="0"/>
                  <wp:docPr id="7" name="Grafik 59" descr="C:\Users\Caro\Desktop\SVP\Piktogramme\Gesundheits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flipH="1">
                            <a:off x="0" y="0"/>
                            <a:ext cx="571500" cy="571500"/>
                          </a:xfrm>
                          <a:prstGeom prst="rect">
                            <a:avLst/>
                          </a:prstGeom>
                          <a:noFill/>
                          <a:ln>
                            <a:noFill/>
                            <a:prstDash/>
                          </a:ln>
                        </pic:spPr>
                      </pic:pic>
                    </a:graphicData>
                  </a:graphic>
                </wp:inline>
              </w:drawing>
            </w:r>
          </w:p>
        </w:tc>
        <w:tc>
          <w:tcPr>
            <w:tcW w:w="975" w:type="dxa"/>
            <w:tcBorders>
              <w:top w:val="single" w:sz="4" w:space="0" w:color="000000"/>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04191" cy="504191"/>
                  <wp:effectExtent l="0" t="0" r="0" b="0"/>
                  <wp:docPr id="8"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4" w:space="0" w:color="000000"/>
              <w:bottom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33396" cy="533396"/>
                  <wp:effectExtent l="0" t="0" r="4" b="4"/>
                  <wp:docPr id="9" name="Grafik 22" descr="C:\Users\Caro\AppData\Local\Temp\Temp1_Piktogramme.zi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33396" cy="533396"/>
                          </a:xfrm>
                          <a:prstGeom prst="rect">
                            <a:avLst/>
                          </a:prstGeom>
                          <a:noFill/>
                          <a:ln>
                            <a:noFill/>
                            <a:prstDash/>
                          </a:ln>
                        </pic:spPr>
                      </pic:pic>
                    </a:graphicData>
                  </a:graphic>
                </wp:inline>
              </w:drawing>
            </w:r>
          </w:p>
        </w:tc>
        <w:tc>
          <w:tcPr>
            <w:tcW w:w="1134" w:type="dxa"/>
            <w:tcBorders>
              <w:top w:val="single" w:sz="4" w:space="0" w:color="000000"/>
              <w:bottom w:val="single" w:sz="8" w:space="0" w:color="4F81BD"/>
              <w:right w:val="single" w:sz="8" w:space="0" w:color="4F81BD"/>
            </w:tcBorders>
            <w:shd w:val="clear" w:color="auto" w:fill="auto"/>
            <w:tcMar>
              <w:top w:w="0" w:type="dxa"/>
              <w:left w:w="108" w:type="dxa"/>
              <w:bottom w:w="0" w:type="dxa"/>
              <w:right w:w="108" w:type="dxa"/>
            </w:tcMar>
            <w:vAlign w:val="center"/>
          </w:tcPr>
          <w:p w:rsidR="0030343A" w:rsidRDefault="00DB3EE7">
            <w:pPr>
              <w:spacing w:after="0"/>
              <w:jc w:val="center"/>
            </w:pPr>
            <w:r>
              <w:rPr>
                <w:noProof/>
                <w:lang w:eastAsia="de-DE"/>
              </w:rPr>
              <w:drawing>
                <wp:inline distT="0" distB="0" distL="0" distR="0">
                  <wp:extent cx="504191" cy="504191"/>
                  <wp:effectExtent l="0" t="0" r="0" b="0"/>
                  <wp:docPr id="10" name="Grafik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04191" cy="504191"/>
                          </a:xfrm>
                          <a:prstGeom prst="rect">
                            <a:avLst/>
                          </a:prstGeom>
                          <a:noFill/>
                          <a:ln>
                            <a:noFill/>
                            <a:prstDash/>
                          </a:ln>
                        </pic:spPr>
                      </pic:pic>
                    </a:graphicData>
                  </a:graphic>
                </wp:inline>
              </w:drawing>
            </w:r>
          </w:p>
        </w:tc>
      </w:tr>
    </w:tbl>
    <w:p w:rsidR="0030343A" w:rsidRDefault="0030343A">
      <w:pPr>
        <w:tabs>
          <w:tab w:val="left" w:pos="1701"/>
          <w:tab w:val="left" w:pos="1985"/>
        </w:tabs>
      </w:pPr>
    </w:p>
    <w:p w:rsidR="0030343A" w:rsidRDefault="00DB3EE7">
      <w:pPr>
        <w:tabs>
          <w:tab w:val="left" w:pos="1701"/>
          <w:tab w:val="left" w:pos="1985"/>
        </w:tabs>
        <w:ind w:left="1980" w:hanging="1980"/>
      </w:pPr>
      <w:r>
        <w:t xml:space="preserve">Materialien: </w:t>
      </w:r>
      <w:r>
        <w:tab/>
      </w:r>
      <w:r>
        <w:tab/>
        <w:t>Große</w:t>
      </w:r>
      <w:r>
        <w:t xml:space="preserve"> Glaswanne, Messer, Brettchen, lange Pinzette, Papiertuch</w:t>
      </w:r>
    </w:p>
    <w:p w:rsidR="0030343A" w:rsidRDefault="00DB3EE7">
      <w:pPr>
        <w:tabs>
          <w:tab w:val="left" w:pos="1701"/>
          <w:tab w:val="left" w:pos="1985"/>
        </w:tabs>
        <w:ind w:left="1980" w:hanging="1980"/>
      </w:pPr>
      <w:r>
        <w:t>Chemikalien:</w:t>
      </w:r>
      <w:r>
        <w:tab/>
      </w:r>
      <w:r>
        <w:tab/>
        <w:t xml:space="preserve">Wasser, Natrium in Paraffinöl, Phenolphthaleinlösung in Ethanol </w:t>
      </w:r>
    </w:p>
    <w:p w:rsidR="0030343A" w:rsidRDefault="00DB3EE7">
      <w:pPr>
        <w:tabs>
          <w:tab w:val="left" w:pos="1701"/>
          <w:tab w:val="left" w:pos="1985"/>
        </w:tabs>
        <w:ind w:left="1980" w:hanging="1980"/>
      </w:pPr>
      <w:r>
        <w:t xml:space="preserve">Durchführung: </w:t>
      </w:r>
      <w:r>
        <w:tab/>
      </w:r>
      <w:r>
        <w:tab/>
      </w:r>
      <w:r>
        <w:rPr>
          <w:color w:val="auto"/>
        </w:rPr>
        <w:t>Man füllt Wasser in eine große Glaswanne und gibt einige Tropfen Phenolphthaleinlösung hinzu. Diese Sch</w:t>
      </w:r>
      <w:r>
        <w:rPr>
          <w:color w:val="auto"/>
        </w:rPr>
        <w:t xml:space="preserve">ale wird im Abzug platziert. Man nimmt nun ein Stück Natrium aus dem Glas und schneidet ein etwa erbsengroßes Stück ab. </w:t>
      </w:r>
      <w:r>
        <w:rPr>
          <w:color w:val="000000"/>
        </w:rPr>
        <w:t xml:space="preserve">Das Petroleum muss absolut wasserfrei sein, damit es im Aufbewahrungsgefäß zu keiner Reaktion kommt. </w:t>
      </w:r>
      <w:r>
        <w:rPr>
          <w:color w:val="auto"/>
        </w:rPr>
        <w:t>Mögliche Rindenanteile werden mit d</w:t>
      </w:r>
      <w:r>
        <w:rPr>
          <w:color w:val="auto"/>
        </w:rPr>
        <w:t xml:space="preserve">em Messer entfernt und kommen auch zurück in die Flasche. Das Petroleumöl wird mithilfe eines Papiertuches abgetropft. Mit der Pinzette gibt man das entrindete Natriumstück auf die Papieroberfläche und schließt sofort den Abzug. </w:t>
      </w:r>
    </w:p>
    <w:p w:rsidR="0030343A" w:rsidRDefault="00DB3EE7">
      <w:pPr>
        <w:tabs>
          <w:tab w:val="left" w:pos="1701"/>
          <w:tab w:val="left" w:pos="1985"/>
        </w:tabs>
        <w:ind w:left="1980" w:hanging="1980"/>
        <w:rPr>
          <w:color w:val="auto"/>
        </w:rPr>
      </w:pPr>
      <w:r>
        <w:rPr>
          <w:color w:val="auto"/>
        </w:rPr>
        <w:t>Beobachtung:</w:t>
      </w:r>
      <w:r>
        <w:rPr>
          <w:color w:val="auto"/>
        </w:rPr>
        <w:tab/>
      </w:r>
      <w:r>
        <w:rPr>
          <w:color w:val="auto"/>
        </w:rPr>
        <w:tab/>
      </w:r>
      <w:r>
        <w:rPr>
          <w:color w:val="auto"/>
        </w:rPr>
        <w:tab/>
        <w:t>Das Natrium</w:t>
      </w:r>
      <w:r>
        <w:rPr>
          <w:color w:val="auto"/>
        </w:rPr>
        <w:t xml:space="preserve">stück flitzt zischend über das Wasser und wird kugelförmig immer kleiner. Es hinterlässt dabei violette Schlieren auf dem Wasser.  Teilweise kommt es kurz vor Ende der Reaktion zur Entzündung oder Explosion des Natriums.  </w:t>
      </w:r>
      <w:r>
        <w:rPr>
          <w:color w:val="auto"/>
        </w:rPr>
        <w:tab/>
      </w:r>
    </w:p>
    <w:p w:rsidR="0030343A" w:rsidRDefault="00DB3EE7">
      <w:pPr>
        <w:keepNext/>
        <w:tabs>
          <w:tab w:val="left" w:pos="1701"/>
          <w:tab w:val="left" w:pos="1985"/>
        </w:tabs>
        <w:ind w:left="1980" w:hanging="1980"/>
        <w:jc w:val="center"/>
      </w:pPr>
      <w:r>
        <w:lastRenderedPageBreak/>
        <w:t xml:space="preserve">                                </w:t>
      </w:r>
      <w:r>
        <w:t xml:space="preserve">          </w:t>
      </w:r>
      <w:r>
        <w:rPr>
          <w:noProof/>
          <w:lang w:eastAsia="de-DE"/>
        </w:rPr>
        <w:drawing>
          <wp:inline distT="0" distB="0" distL="0" distR="0">
            <wp:extent cx="1869426" cy="1402067"/>
            <wp:effectExtent l="0" t="0" r="0" b="7633"/>
            <wp:docPr id="11" name="myImg" descr="https://www.fotobearbeitung-online.de/tmp/img-57975fd708584/step0001.jpg?14695388497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869426" cy="1402067"/>
                    </a:xfrm>
                    <a:prstGeom prst="rect">
                      <a:avLst/>
                    </a:prstGeom>
                    <a:noFill/>
                    <a:ln>
                      <a:noFill/>
                      <a:prstDash/>
                    </a:ln>
                  </pic:spPr>
                </pic:pic>
              </a:graphicData>
            </a:graphic>
          </wp:inline>
        </w:drawing>
      </w:r>
    </w:p>
    <w:p w:rsidR="0030343A" w:rsidRDefault="00DB3EE7">
      <w:pPr>
        <w:pStyle w:val="Beschriftung"/>
        <w:jc w:val="center"/>
      </w:pPr>
      <w:r>
        <w:rPr>
          <w:color w:val="000000"/>
        </w:rPr>
        <w:t xml:space="preserve">                                                  Abb. 1 -  Tanzendes Natriumstück auf dem Wasser, das pinke Schlieren hinterlässt.</w:t>
      </w:r>
    </w:p>
    <w:p w:rsidR="0030343A" w:rsidRDefault="00DB3EE7">
      <w:pPr>
        <w:tabs>
          <w:tab w:val="left" w:pos="1701"/>
          <w:tab w:val="left" w:pos="1985"/>
        </w:tabs>
        <w:ind w:left="1980" w:hanging="1980"/>
        <w:rPr>
          <w:color w:val="auto"/>
        </w:rPr>
      </w:pPr>
      <w:r>
        <w:rPr>
          <w:color w:val="auto"/>
        </w:rPr>
        <w:t>Deutung:</w:t>
      </w:r>
      <w:r>
        <w:rPr>
          <w:color w:val="auto"/>
        </w:rPr>
        <w:tab/>
      </w:r>
      <w:r>
        <w:rPr>
          <w:color w:val="auto"/>
        </w:rPr>
        <w:tab/>
      </w:r>
      <w:r>
        <w:rPr>
          <w:color w:val="auto"/>
        </w:rPr>
        <w:tab/>
        <w:t>Natrium reagiert heftig mit Wasser unter Bildung eines Gases. Die Verfärbung des Indikators zeigt an,</w:t>
      </w:r>
      <w:r>
        <w:rPr>
          <w:color w:val="auto"/>
        </w:rPr>
        <w:t xml:space="preserve"> dass sich der pH-Wert der Lösung verändert hat, der pH-Wert liegt im basischen Bereich.  </w:t>
      </w:r>
      <w:r>
        <w:rPr>
          <w:color w:val="auto"/>
        </w:rPr>
        <w:tab/>
      </w:r>
    </w:p>
    <w:p w:rsidR="0030343A" w:rsidRDefault="00DB3EE7">
      <w:pPr>
        <w:tabs>
          <w:tab w:val="left" w:pos="1701"/>
          <w:tab w:val="left" w:pos="1985"/>
        </w:tabs>
        <w:ind w:left="1980" w:hanging="1980"/>
        <w:rPr>
          <w:color w:val="auto"/>
        </w:rPr>
      </w:pPr>
      <w:r>
        <w:rPr>
          <w:color w:val="auto"/>
        </w:rPr>
        <w:t xml:space="preserve">                                         Natrium + Wasser -&gt; Natriumhydroxid + Wasserstoff</w:t>
      </w:r>
    </w:p>
    <w:p w:rsidR="0030343A" w:rsidRDefault="00DB3EE7">
      <w:pPr>
        <w:tabs>
          <w:tab w:val="left" w:pos="1701"/>
          <w:tab w:val="left" w:pos="1985"/>
        </w:tabs>
        <w:ind w:left="1980" w:hanging="1980"/>
        <w:rPr>
          <w:color w:val="auto"/>
        </w:rPr>
      </w:pPr>
      <w:r>
        <w:rPr>
          <w:color w:val="auto"/>
        </w:rPr>
        <w:tab/>
      </w:r>
      <w:r>
        <w:rPr>
          <w:color w:val="auto"/>
        </w:rPr>
        <w:tab/>
        <w:t xml:space="preserve">Fachliche Auswertung: </w:t>
      </w:r>
    </w:p>
    <w:p w:rsidR="0030343A" w:rsidRDefault="00DB3EE7">
      <w:pPr>
        <w:tabs>
          <w:tab w:val="left" w:pos="1701"/>
          <w:tab w:val="left" w:pos="1985"/>
        </w:tabs>
        <w:ind w:left="1980" w:hanging="1980"/>
      </w:pPr>
      <w:r>
        <w:rPr>
          <w:color w:val="auto"/>
        </w:rPr>
        <w:tab/>
      </w:r>
      <w:r>
        <w:rPr>
          <w:color w:val="auto"/>
        </w:rPr>
        <w:tab/>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d>
              <m:dPr>
                <m:ctrlPr>
                  <w:rPr>
                    <w:rFonts w:ascii="Cambria Math" w:hAnsi="Cambria Math"/>
                  </w:rPr>
                </m:ctrlPr>
              </m:dPr>
              <m:e>
                <m:r>
                  <m:rPr>
                    <m:sty m:val="p"/>
                  </m:rPr>
                  <w:rPr>
                    <w:rFonts w:ascii="Cambria Math" w:hAnsi="Cambria Math"/>
                  </w:rPr>
                  <m:t>s</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w:rPr>
            <w:rFonts w:ascii="Cambria Math" w:hAnsi="Cambria Math"/>
          </w:rPr>
          <m:t>→</m:t>
        </m:r>
        <m:r>
          <m:rPr>
            <m:sty m:val="p"/>
          </m:rPr>
          <w:rPr>
            <w:rFonts w:ascii="Cambria Math" w:hAnsi="Cambria Math"/>
          </w:rPr>
          <m:t>N</m:t>
        </m:r>
        <m:sSubSup>
          <m:sSubSupPr>
            <m:ctrlPr>
              <w:rPr>
                <w:rFonts w:ascii="Cambria Math" w:hAnsi="Cambria Math"/>
              </w:rPr>
            </m:ctrlPr>
          </m:sSubSupPr>
          <m:e>
            <m:r>
              <m:rPr>
                <m:sty m:val="p"/>
              </m:rPr>
              <w:rPr>
                <w:rFonts w:ascii="Cambria Math" w:hAnsi="Cambria Math"/>
              </w:rPr>
              <m:t>a</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w:rPr>
            <w:rFonts w:ascii="Cambria Math" w:hAnsi="Cambria Math"/>
          </w:rPr>
          <m:t>+</m:t>
        </m:r>
        <m:r>
          <m:rPr>
            <m:sty m:val="p"/>
          </m:rPr>
          <w:rPr>
            <w:rFonts w:ascii="Cambria Math" w:hAnsi="Cambria Math"/>
          </w:rPr>
          <m:t>O</m:t>
        </m:r>
        <m:sSubSup>
          <m:sSubSupPr>
            <m:ctrlPr>
              <w:rPr>
                <w:rFonts w:ascii="Cambria Math" w:hAnsi="Cambria Math"/>
              </w:rPr>
            </m:ctrlPr>
          </m:sSubSupPr>
          <m:e>
            <m:r>
              <m:rPr>
                <m:sty m:val="p"/>
              </m:rPr>
              <w:rPr>
                <w:rFonts w:ascii="Cambria Math" w:hAnsi="Cambria Math"/>
              </w:rPr>
              <m:t>H</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e>
          <m:sub>
            <m:d>
              <m:dPr>
                <m:ctrlPr>
                  <w:rPr>
                    <w:rFonts w:ascii="Cambria Math" w:hAnsi="Cambria Math"/>
                  </w:rPr>
                </m:ctrlPr>
              </m:dPr>
              <m:e>
                <m:r>
                  <m:rPr>
                    <m:sty m:val="p"/>
                  </m:rPr>
                  <w:rPr>
                    <w:rFonts w:ascii="Cambria Math" w:hAnsi="Cambria Math"/>
                  </w:rPr>
                  <m:t>g</m:t>
                </m:r>
              </m:e>
            </m:d>
          </m:sub>
        </m:sSub>
      </m:oMath>
    </w:p>
    <w:p w:rsidR="0030343A" w:rsidRDefault="00DB3EE7">
      <w:pPr>
        <w:tabs>
          <w:tab w:val="left" w:pos="1701"/>
          <w:tab w:val="left" w:pos="1985"/>
        </w:tabs>
        <w:ind w:left="1980" w:hanging="1980"/>
      </w:pPr>
      <w:r>
        <w:rPr>
          <w:color w:val="auto"/>
        </w:rPr>
        <w:tab/>
      </w:r>
      <w:r>
        <w:rPr>
          <w:color w:val="FF0000"/>
        </w:rPr>
        <w:tab/>
      </w:r>
      <w:r>
        <w:rPr>
          <w:color w:val="000000"/>
        </w:rPr>
        <w:t>Die Energieumsetzung findet in Form von Bew</w:t>
      </w:r>
      <w:r>
        <w:rPr>
          <w:color w:val="000000"/>
        </w:rPr>
        <w:t>egungsenergie statt, wodurch das Natriumstück über die Wasseroberfläche gleitet. Die kugelförmige Gestalt bildet sich aufgrund der Oberflächenspannung des flüssigen Metalls. Die Gefahr einer Explosion besteht immer dann, wenn das Natrium sich nicht bewegen</w:t>
      </w:r>
      <w:r>
        <w:rPr>
          <w:color w:val="000000"/>
        </w:rPr>
        <w:t xml:space="preserve"> kann oder der freiwerdende Wasserstoff eingeschlossen wird. Die Zündtemperatur des Wasserstoffs wird durch die Wärmefreisetzung der exothermen Reaktion leicht erreicht. </w:t>
      </w:r>
    </w:p>
    <w:p w:rsidR="0030343A" w:rsidRDefault="00DB3EE7">
      <w:pPr>
        <w:spacing w:line="276" w:lineRule="auto"/>
        <w:ind w:left="1950" w:hanging="1950"/>
        <w:jc w:val="left"/>
      </w:pPr>
      <w:r>
        <w:t>Entsorgung:</w:t>
      </w:r>
      <w:r>
        <w:tab/>
        <w:t xml:space="preserve">Die rosa Lösung muss neutralisiert werden und kann danach in den Ausguss </w:t>
      </w:r>
      <w:r>
        <w:t xml:space="preserve">geschüttet werden. </w:t>
      </w:r>
    </w:p>
    <w:p w:rsidR="0030343A" w:rsidRDefault="00DB3EE7">
      <w:pPr>
        <w:spacing w:line="276" w:lineRule="auto"/>
        <w:jc w:val="left"/>
      </w:pPr>
      <w:r>
        <w:t>Literatur:</w:t>
      </w:r>
      <w:r>
        <w:tab/>
        <w:t xml:space="preserve">           </w:t>
      </w:r>
    </w:p>
    <w:p w:rsidR="0030343A" w:rsidRDefault="00DB3EE7">
      <w:r>
        <w:t>Wich, Peter, http://www.experimentalchemie.de/versuch-041.htm, 26.07.2016 (Zuletzt abgerufen am 26.07.2016 um 13:56Uhr).</w:t>
      </w:r>
    </w:p>
    <w:p w:rsidR="0030343A" w:rsidRDefault="00DB3EE7">
      <w:r>
        <w:rPr>
          <w:noProof/>
          <w:lang w:eastAsia="de-DE"/>
        </w:rPr>
        <mc:AlternateContent>
          <mc:Choice Requires="wps">
            <w:drawing>
              <wp:inline distT="0" distB="0" distL="0" distR="0">
                <wp:extent cx="5760720" cy="1466212"/>
                <wp:effectExtent l="0" t="0" r="11430" b="19688"/>
                <wp:docPr id="12" name="Text Box 131"/>
                <wp:cNvGraphicFramePr/>
                <a:graphic xmlns:a="http://schemas.openxmlformats.org/drawingml/2006/main">
                  <a:graphicData uri="http://schemas.microsoft.com/office/word/2010/wordprocessingShape">
                    <wps:wsp>
                      <wps:cNvSpPr txBox="1"/>
                      <wps:spPr>
                        <a:xfrm>
                          <a:off x="0" y="0"/>
                          <a:ext cx="5760720" cy="1466212"/>
                        </a:xfrm>
                        <a:prstGeom prst="rect">
                          <a:avLst/>
                        </a:prstGeom>
                        <a:solidFill>
                          <a:srgbClr val="FFFFFF"/>
                        </a:solidFill>
                        <a:ln w="12701">
                          <a:solidFill>
                            <a:srgbClr val="ED7D31"/>
                          </a:solidFill>
                          <a:prstDash val="dash"/>
                        </a:ln>
                      </wps:spPr>
                      <wps:txbx>
                        <w:txbxContent>
                          <w:p w:rsidR="0030343A" w:rsidRDefault="00DB3EE7">
                            <w:r>
                              <w:rPr>
                                <w:color w:val="auto"/>
                              </w:rPr>
                              <w:t>Der Versuch ist ausnahmslos als Lehrerversuch unter dem Abzug und mit ausreichender Schut</w:t>
                            </w:r>
                            <w:r>
                              <w:rPr>
                                <w:color w:val="auto"/>
                              </w:rPr>
                              <w:t>zkleidung durchführbar. Eine mögliche Erweiterung stellt die Verwendung eines Papierschiffchens dar, auf dem das Natriumstück platziert wird. Dies lässt die Reaktion noch heftiger verlaufen. Zum Vergleich könnte der Versuch mit Lithium wiederholt werden, u</w:t>
                            </w:r>
                            <w:r>
                              <w:rPr>
                                <w:color w:val="auto"/>
                              </w:rPr>
                              <w:t xml:space="preserve">m auf die unterschiedlichen Reaktivitäten in der Gruppe der Alkalimetalle einzugehen. </w:t>
                            </w:r>
                            <w:r>
                              <w:rPr>
                                <w:color w:val="000000"/>
                              </w:rPr>
                              <w:t xml:space="preserve">Im weiteren Unterrichtsverlauf sollte die Knallgasprobe als Nachweis für die Entstehung von Wasserstoff thematisiert werden.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" strokecolor="#ed7d31" strokeweight=".35281mm">
                <v:stroke dashstyle="dash"/>
                <v:textbox>
                  <w:txbxContent>
                    <w:p w:rsidR="0030343A" w:rsidRDefault="00DB3EE7">
                      <w:r>
                        <w:rPr>
                          <w:color w:val="auto"/>
                        </w:rPr>
                        <w:t>Der Versuch ist ausnahmslos als Lehrerversuch unter dem Abzug und mit ausreichender Schut</w:t>
                      </w:r>
                      <w:r>
                        <w:rPr>
                          <w:color w:val="auto"/>
                        </w:rPr>
                        <w:t>zkleidung durchführbar. Eine mögliche Erweiterung stellt die Verwendung eines Papierschiffchens dar, auf dem das Natriumstück platziert wird. Dies lässt die Reaktion noch heftiger verlaufen. Zum Vergleich könnte der Versuch mit Lithium wiederholt werden, u</w:t>
                      </w:r>
                      <w:r>
                        <w:rPr>
                          <w:color w:val="auto"/>
                        </w:rPr>
                        <w:t xml:space="preserve">m auf die unterschiedlichen Reaktivitäten in der Gruppe der Alkalimetalle einzugehen. </w:t>
                      </w:r>
                      <w:r>
                        <w:rPr>
                          <w:color w:val="000000"/>
                        </w:rPr>
                        <w:t xml:space="preserve">Im weiteren Unterrichtsverlauf sollte die Knallgasprobe als Nachweis für die Entstehung von Wasserstoff thematisiert werden. </w:t>
                      </w:r>
                    </w:p>
                  </w:txbxContent>
                </v:textbox>
                <w10:anchorlock/>
              </v:shape>
            </w:pict>
          </mc:Fallback>
        </mc:AlternateContent>
      </w:r>
    </w:p>
    <w:sectPr w:rsidR="0030343A">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E7" w:rsidRDefault="00DB3EE7">
      <w:pPr>
        <w:spacing w:after="0" w:line="240" w:lineRule="auto"/>
      </w:pPr>
      <w:r>
        <w:separator/>
      </w:r>
    </w:p>
  </w:endnote>
  <w:endnote w:type="continuationSeparator" w:id="0">
    <w:p w:rsidR="00DB3EE7" w:rsidRDefault="00DB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E7" w:rsidRDefault="00DB3EE7">
      <w:pPr>
        <w:spacing w:after="0" w:line="240" w:lineRule="auto"/>
      </w:pPr>
      <w:r>
        <w:rPr>
          <w:color w:val="000000"/>
        </w:rPr>
        <w:separator/>
      </w:r>
    </w:p>
  </w:footnote>
  <w:footnote w:type="continuationSeparator" w:id="0">
    <w:p w:rsidR="00DB3EE7" w:rsidRDefault="00DB3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51084"/>
    <w:multiLevelType w:val="multilevel"/>
    <w:tmpl w:val="747C56F2"/>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0343A"/>
    <w:rsid w:val="0030343A"/>
    <w:rsid w:val="00425312"/>
    <w:rsid w:val="00DB3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A3FF3-DD70-4B52-A1B0-8E08E9F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2016-08-12T11:14:00Z</dcterms:created>
  <dcterms:modified xsi:type="dcterms:W3CDTF">2016-08-12T11:14:00Z</dcterms:modified>
</cp:coreProperties>
</file>