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FD" w:rsidRDefault="005F7873">
      <w:pPr>
        <w:pStyle w:val="berschrift2"/>
      </w:pPr>
      <w:bookmarkStart w:id="0" w:name="_Toc458502454"/>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398778</wp:posOffset>
                </wp:positionV>
                <wp:extent cx="5873118" cy="1800225"/>
                <wp:effectExtent l="0" t="0" r="13332" b="28575"/>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800225"/>
                        </a:xfrm>
                        <a:prstGeom prst="rect">
                          <a:avLst/>
                        </a:prstGeom>
                        <a:solidFill>
                          <a:srgbClr val="FFFFFF"/>
                        </a:solidFill>
                        <a:ln w="12701">
                          <a:solidFill>
                            <a:srgbClr val="4472C4"/>
                          </a:solidFill>
                          <a:prstDash val="dash"/>
                        </a:ln>
                      </wps:spPr>
                      <wps:txbx>
                        <w:txbxContent>
                          <w:p w:rsidR="00C901FD" w:rsidRDefault="005F7873">
                            <w:pPr>
                              <w:rPr>
                                <w:color w:val="auto"/>
                              </w:rPr>
                            </w:pPr>
                            <w:r>
                              <w:rPr>
                                <w:color w:val="auto"/>
                              </w:rPr>
                              <w:t xml:space="preserve">Mit Verbindungen aus dem Alltag lassen sich leicht chemische Reaktionen durchführen. Ein Beispiel ist der Bleistiftanspitzer meist vollständig aus Magnesium besteht. Im Versuch </w:t>
                            </w:r>
                            <w:r>
                              <w:rPr>
                                <w:color w:val="auto"/>
                              </w:rPr>
                              <w:t>werden sowohl Stoff- als auch Energieumsatz als Kennzeichen chemischer Reaktionen für die SuS sichtbar. Da der Versuch als Einstiegsexperiment ins Thema chemische Reaktion gedacht ist, wird kein Vorwissen der SuS über chemische Reaktionen vorausgesetzt. Wü</w:t>
                            </w:r>
                            <w:r>
                              <w:rPr>
                                <w:color w:val="auto"/>
                              </w:rPr>
                              <w:t xml:space="preserve">nschenswert wäre es, wenn die SuS Magnesiapulver aus dem Sportunterricht kennen, da somit die Alltagsrelevanz erhöht wird.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1.4pt;width:462.45pt;height:141.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" strokecolor="#4472c4" strokeweight=".35281mm">
                <v:stroke dashstyle="dash"/>
                <v:textbox>
                  <w:txbxContent>
                    <w:p w:rsidR="00C901FD" w:rsidRDefault="005F7873">
                      <w:pPr>
                        <w:rPr>
                          <w:color w:val="auto"/>
                        </w:rPr>
                      </w:pPr>
                      <w:r>
                        <w:rPr>
                          <w:color w:val="auto"/>
                        </w:rPr>
                        <w:t xml:space="preserve">Mit Verbindungen aus dem Alltag lassen sich leicht chemische Reaktionen durchführen. Ein Beispiel ist der Bleistiftanspitzer meist vollständig aus Magnesium besteht. Im Versuch </w:t>
                      </w:r>
                      <w:r>
                        <w:rPr>
                          <w:color w:val="auto"/>
                        </w:rPr>
                        <w:t>werden sowohl Stoff- als auch Energieumsatz als Kennzeichen chemischer Reaktionen für die SuS sichtbar. Da der Versuch als Einstiegsexperiment ins Thema chemische Reaktion gedacht ist, wird kein Vorwissen der SuS über chemische Reaktionen vorausgesetzt. Wü</w:t>
                      </w:r>
                      <w:r>
                        <w:rPr>
                          <w:color w:val="auto"/>
                        </w:rPr>
                        <w:t xml:space="preserve">nschenswert wäre es, wenn die SuS Magnesiapulver aus dem Sportunterricht kennen, da somit die Alltagsrelevanz erhöht wird. </w:t>
                      </w:r>
                    </w:p>
                  </w:txbxContent>
                </v:textbox>
                <w10:wrap type="square" anchorx="margin"/>
              </v:shape>
            </w:pict>
          </mc:Fallback>
        </mc:AlternateContent>
      </w:r>
      <w:r>
        <w:t>V2 – Magnesiumband in Flammen</w:t>
      </w:r>
      <w:bookmarkEnd w:id="0"/>
      <w:r>
        <w:t xml:space="preserve"> </w:t>
      </w:r>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C901FD">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C901FD" w:rsidRDefault="005F7873">
            <w:pPr>
              <w:spacing w:after="0"/>
              <w:jc w:val="center"/>
              <w:rPr>
                <w:b/>
                <w:bCs/>
                <w:color w:val="FFFFFF"/>
              </w:rPr>
            </w:pPr>
            <w:r>
              <w:rPr>
                <w:b/>
                <w:bCs/>
                <w:color w:val="FFFFFF"/>
              </w:rPr>
              <w:t>Gefahrenstoffe</w:t>
            </w:r>
          </w:p>
        </w:tc>
      </w:tr>
      <w:tr w:rsidR="00C901FD">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C901FD" w:rsidRDefault="005F7873">
            <w:pPr>
              <w:spacing w:after="0" w:line="276" w:lineRule="auto"/>
              <w:jc w:val="center"/>
            </w:pPr>
            <w:r>
              <w:rPr>
                <w:color w:val="auto"/>
                <w:sz w:val="20"/>
                <w:szCs w:val="20"/>
              </w:rPr>
              <w:t xml:space="preserve">Magnesium </w:t>
            </w:r>
          </w:p>
        </w:tc>
        <w:tc>
          <w:tcPr>
            <w:tcW w:w="3177" w:type="dxa"/>
            <w:gridSpan w:val="3"/>
            <w:shd w:val="clear" w:color="auto" w:fill="auto"/>
            <w:tcMar>
              <w:top w:w="0" w:type="dxa"/>
              <w:left w:w="108" w:type="dxa"/>
              <w:bottom w:w="0" w:type="dxa"/>
              <w:right w:w="108" w:type="dxa"/>
            </w:tcMar>
            <w:vAlign w:val="center"/>
          </w:tcPr>
          <w:p w:rsidR="00C901FD" w:rsidRDefault="005F7873">
            <w:pPr>
              <w:pStyle w:val="Beschriftung"/>
              <w:spacing w:after="0"/>
              <w:jc w:val="left"/>
              <w:rPr>
                <w:sz w:val="20"/>
              </w:rPr>
            </w:pPr>
            <w:r>
              <w:rPr>
                <w:sz w:val="20"/>
              </w:rPr>
              <w:t>H: 228​‐​251​‐​261</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C901FD" w:rsidRDefault="005F7873">
            <w:pPr>
              <w:pStyle w:val="Beschriftung"/>
              <w:spacing w:after="0"/>
              <w:jc w:val="left"/>
              <w:rPr>
                <w:sz w:val="20"/>
              </w:rPr>
            </w:pPr>
            <w:r>
              <w:rPr>
                <w:sz w:val="20"/>
              </w:rPr>
              <w:t>P: 210​‐​231+232​‐​241​‐​280​‐​420​‐​501</w:t>
            </w:r>
          </w:p>
        </w:tc>
      </w:tr>
      <w:tr w:rsidR="00C901FD">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C901FD" w:rsidRDefault="005F7873">
            <w:pPr>
              <w:spacing w:after="0" w:line="276" w:lineRule="auto"/>
              <w:jc w:val="center"/>
              <w:rPr>
                <w:color w:val="auto"/>
                <w:sz w:val="20"/>
                <w:szCs w:val="20"/>
              </w:rPr>
            </w:pPr>
            <w:r>
              <w:rPr>
                <w:color w:val="auto"/>
                <w:sz w:val="20"/>
                <w:szCs w:val="20"/>
              </w:rPr>
              <w:t>Magnesiumoxid</w:t>
            </w:r>
            <w:r>
              <w:rPr>
                <w:color w:val="auto"/>
                <w:sz w:val="20"/>
                <w:szCs w:val="20"/>
              </w:rPr>
              <w:t xml:space="preserve"> </w:t>
            </w:r>
          </w:p>
        </w:tc>
        <w:tc>
          <w:tcPr>
            <w:tcW w:w="3177" w:type="dxa"/>
            <w:gridSpan w:val="3"/>
            <w:shd w:val="clear" w:color="auto" w:fill="auto"/>
            <w:tcMar>
              <w:top w:w="0" w:type="dxa"/>
              <w:left w:w="108" w:type="dxa"/>
              <w:bottom w:w="0" w:type="dxa"/>
              <w:right w:w="108" w:type="dxa"/>
            </w:tcMar>
            <w:vAlign w:val="center"/>
          </w:tcPr>
          <w:p w:rsidR="00C901FD" w:rsidRDefault="005F7873">
            <w:pPr>
              <w:pStyle w:val="Beschriftung"/>
              <w:spacing w:after="0"/>
              <w:jc w:val="left"/>
              <w:rPr>
                <w:sz w:val="20"/>
              </w:rPr>
            </w:pPr>
            <w:r>
              <w:rPr>
                <w:sz w:val="20"/>
              </w:rPr>
              <w:t xml:space="preserve">H: -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C901FD" w:rsidRDefault="005F7873">
            <w:pPr>
              <w:pStyle w:val="Beschriftung"/>
              <w:spacing w:after="0"/>
              <w:jc w:val="left"/>
              <w:rPr>
                <w:sz w:val="20"/>
              </w:rPr>
            </w:pPr>
            <w:r>
              <w:rPr>
                <w:sz w:val="20"/>
              </w:rPr>
              <w:t xml:space="preserve">P: - </w:t>
            </w:r>
          </w:p>
        </w:tc>
      </w:tr>
      <w:tr w:rsidR="00C901FD">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b/>
                <w:bCs/>
                <w:noProof/>
                <w:lang w:eastAsia="de-DE"/>
              </w:rPr>
              <w:drawing>
                <wp:inline distT="0" distB="0" distL="0" distR="0">
                  <wp:extent cx="475616" cy="475616"/>
                  <wp:effectExtent l="0" t="0" r="634" b="634"/>
                  <wp:docPr id="2" name="Grafik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5616" cy="47561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04191" cy="504191"/>
                  <wp:effectExtent l="0" t="0" r="0" b="0"/>
                  <wp:docPr id="3" name="Grafik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61971" cy="561971"/>
                  <wp:effectExtent l="0" t="0" r="0" b="0"/>
                  <wp:docPr id="4" name="Grafik 61" descr="C:\Users\Caro\Desktop\SVP\Piktogramme\Brennba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flipH="1">
                            <a:off x="0" y="0"/>
                            <a:ext cx="561971" cy="56197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04191" cy="504191"/>
                  <wp:effectExtent l="0" t="0" r="0" b="0"/>
                  <wp:docPr id="5" name="Grafik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04191" cy="504191"/>
                  <wp:effectExtent l="0" t="0" r="0" b="0"/>
                  <wp:docPr id="6" name="Grafik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04191" cy="504191"/>
                  <wp:effectExtent l="0" t="0" r="0" b="0"/>
                  <wp:docPr id="7" name="Grafik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04191" cy="504191"/>
                  <wp:effectExtent l="0" t="0" r="0" b="0"/>
                  <wp:docPr id="8" name="Grafik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33396" cy="533396"/>
                  <wp:effectExtent l="0" t="0" r="4" b="4"/>
                  <wp:docPr id="9" name="Grafik 31" descr="C:\Users\Caro\AppData\Local\Temp\Temp1_Piktogramme.zi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33396" cy="533396"/>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C901FD" w:rsidRDefault="005F7873">
            <w:pPr>
              <w:spacing w:after="0"/>
              <w:jc w:val="center"/>
            </w:pPr>
            <w:r>
              <w:rPr>
                <w:noProof/>
                <w:lang w:eastAsia="de-DE"/>
              </w:rPr>
              <w:drawing>
                <wp:inline distT="0" distB="0" distL="0" distR="0">
                  <wp:extent cx="504191" cy="504191"/>
                  <wp:effectExtent l="0" t="0" r="0" b="0"/>
                  <wp:docPr id="10" name="Grafik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04191" cy="504191"/>
                          </a:xfrm>
                          <a:prstGeom prst="rect">
                            <a:avLst/>
                          </a:prstGeom>
                          <a:noFill/>
                          <a:ln>
                            <a:noFill/>
                            <a:prstDash/>
                          </a:ln>
                        </pic:spPr>
                      </pic:pic>
                    </a:graphicData>
                  </a:graphic>
                </wp:inline>
              </w:drawing>
            </w:r>
          </w:p>
        </w:tc>
      </w:tr>
    </w:tbl>
    <w:p w:rsidR="00C901FD" w:rsidRDefault="00C901FD">
      <w:pPr>
        <w:tabs>
          <w:tab w:val="left" w:pos="1701"/>
          <w:tab w:val="left" w:pos="1985"/>
        </w:tabs>
        <w:ind w:left="1980" w:hanging="1980"/>
      </w:pPr>
    </w:p>
    <w:p w:rsidR="00C901FD" w:rsidRDefault="005F7873">
      <w:pPr>
        <w:tabs>
          <w:tab w:val="left" w:pos="1701"/>
          <w:tab w:val="left" w:pos="1985"/>
        </w:tabs>
        <w:ind w:left="1980" w:hanging="1980"/>
      </w:pPr>
      <w:r>
        <w:t xml:space="preserve">Materialien: </w:t>
      </w:r>
      <w:r>
        <w:tab/>
      </w:r>
      <w:r>
        <w:tab/>
        <w:t xml:space="preserve">Tiegelzange, Gasbrenner, Feuerzeug, feuerfeste Unterlage </w:t>
      </w:r>
    </w:p>
    <w:p w:rsidR="00C901FD" w:rsidRDefault="005F7873">
      <w:pPr>
        <w:tabs>
          <w:tab w:val="left" w:pos="1701"/>
          <w:tab w:val="left" w:pos="1985"/>
        </w:tabs>
        <w:ind w:left="1980" w:hanging="1980"/>
      </w:pPr>
      <w:r>
        <w:t>Chemikalien:</w:t>
      </w:r>
      <w:r>
        <w:tab/>
      </w:r>
      <w:r>
        <w:tab/>
        <w:t xml:space="preserve">Magnesiumband </w:t>
      </w:r>
    </w:p>
    <w:p w:rsidR="00C901FD" w:rsidRDefault="005F7873">
      <w:pPr>
        <w:tabs>
          <w:tab w:val="left" w:pos="1701"/>
          <w:tab w:val="left" w:pos="1985"/>
        </w:tabs>
        <w:ind w:left="1980" w:hanging="1980"/>
      </w:pPr>
      <w:r>
        <w:t xml:space="preserve">Durchführung: </w:t>
      </w:r>
      <w:r>
        <w:tab/>
      </w:r>
      <w:r>
        <w:tab/>
        <w:t xml:space="preserve">Das Magnesiumband wird mithilfe der Tiegelzange auf einer feuerfesten Unterlage in der Brennerflamme </w:t>
      </w:r>
      <w:r>
        <w:t xml:space="preserve">entzündet. </w:t>
      </w:r>
    </w:p>
    <w:p w:rsidR="00C901FD" w:rsidRDefault="005F7873">
      <w:pPr>
        <w:tabs>
          <w:tab w:val="left" w:pos="1701"/>
          <w:tab w:val="left" w:pos="1985"/>
        </w:tabs>
        <w:ind w:left="1980" w:hanging="1980"/>
      </w:pPr>
      <w:r>
        <w:rPr>
          <w:color w:val="000000"/>
        </w:rPr>
        <w:t>Beobachtung:</w:t>
      </w:r>
      <w:r>
        <w:rPr>
          <w:color w:val="FF0000"/>
        </w:rPr>
        <w:tab/>
      </w:r>
      <w:r>
        <w:rPr>
          <w:color w:val="FF0000"/>
        </w:rPr>
        <w:tab/>
      </w:r>
      <w:r>
        <w:t>Das Magnesiumband verbrennt mit gleißend heller Flamme und unter Entwicklung eines weißen Rauches. Man erhält einen weißen, pulverförmigen Stoff als Produkt.</w:t>
      </w:r>
    </w:p>
    <w:p w:rsidR="00C901FD" w:rsidRDefault="005F7873">
      <w:pPr>
        <w:tabs>
          <w:tab w:val="left" w:pos="1701"/>
          <w:tab w:val="left" w:pos="1985"/>
        </w:tabs>
        <w:ind w:left="1980" w:hanging="1980"/>
        <w:jc w:val="center"/>
      </w:pPr>
      <w:r>
        <w:t xml:space="preserve">                               </w:t>
      </w:r>
      <w:r>
        <w:rPr>
          <w:noProof/>
          <w:lang w:eastAsia="de-DE"/>
        </w:rPr>
        <w:drawing>
          <wp:inline distT="0" distB="0" distL="0" distR="0">
            <wp:extent cx="2334088" cy="1751889"/>
            <wp:effectExtent l="5349" t="13701" r="14412" b="14411"/>
            <wp:docPr id="11" name="Bild 1" descr="https://www.fotobearbeitung-online.de/tmp/img-57975fd708584/step0002.jpg?14695385712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rot="5400013">
                      <a:off x="0" y="0"/>
                      <a:ext cx="2334088" cy="1751889"/>
                    </a:xfrm>
                    <a:prstGeom prst="rect">
                      <a:avLst/>
                    </a:prstGeom>
                    <a:noFill/>
                    <a:ln>
                      <a:noFill/>
                      <a:prstDash/>
                    </a:ln>
                  </pic:spPr>
                </pic:pic>
              </a:graphicData>
            </a:graphic>
          </wp:inline>
        </w:drawing>
      </w:r>
    </w:p>
    <w:p w:rsidR="00C901FD" w:rsidRDefault="005F7873">
      <w:pPr>
        <w:pStyle w:val="Beschriftung"/>
        <w:jc w:val="center"/>
      </w:pPr>
      <w:r>
        <w:rPr>
          <w:color w:val="000000"/>
        </w:rPr>
        <w:t xml:space="preserve">                              </w:t>
      </w:r>
      <w:r>
        <w:t xml:space="preserve">Abb. 2 - </w:t>
      </w:r>
      <w:r>
        <w:t xml:space="preserve"> Gleißend helle Flamme bei Verbrennung des Magnesiumbandes. </w:t>
      </w:r>
    </w:p>
    <w:p w:rsidR="00C901FD" w:rsidRDefault="00C901FD"/>
    <w:p w:rsidR="00C901FD" w:rsidRDefault="005F7873">
      <w:pPr>
        <w:ind w:left="1890" w:hanging="1890"/>
        <w:rPr>
          <w:color w:val="auto"/>
        </w:rPr>
      </w:pPr>
      <w:r>
        <w:rPr>
          <w:color w:val="auto"/>
        </w:rPr>
        <w:t xml:space="preserve">Deutung: </w:t>
      </w:r>
      <w:r>
        <w:rPr>
          <w:color w:val="auto"/>
        </w:rPr>
        <w:tab/>
        <w:t xml:space="preserve">Magnesium reagiert mit Sauerstoff aus der Luft unter Energiefreisetzung in    Form von Funken und Licht zu Magnesiumoxid.  </w:t>
      </w:r>
    </w:p>
    <w:p w:rsidR="00C901FD" w:rsidRDefault="005F7873">
      <w:pPr>
        <w:ind w:left="1890" w:hanging="1890"/>
      </w:pPr>
      <w:r>
        <w:rPr>
          <w:color w:val="auto"/>
        </w:rPr>
        <w:t xml:space="preserve">                                       Magnesium + Sauerstof</w:t>
      </w:r>
      <w:r>
        <w:rPr>
          <w:color w:val="auto"/>
        </w:rPr>
        <w:t xml:space="preserve">f </w:t>
      </w:r>
      <w:r>
        <w:rPr>
          <w:rFonts w:ascii="Wingdings" w:eastAsia="Wingdings" w:hAnsi="Wingdings" w:cs="Wingdings"/>
          <w:color w:val="auto"/>
        </w:rPr>
        <w:t></w:t>
      </w:r>
      <w:r>
        <w:rPr>
          <w:color w:val="auto"/>
        </w:rPr>
        <w:t xml:space="preserve"> Magnesiumoxid </w:t>
      </w:r>
    </w:p>
    <w:p w:rsidR="00C901FD" w:rsidRDefault="005F7873">
      <w:pPr>
        <w:ind w:left="1890" w:hanging="1890"/>
        <w:rPr>
          <w:color w:val="auto"/>
        </w:rPr>
      </w:pPr>
      <w:r>
        <w:rPr>
          <w:color w:val="auto"/>
        </w:rPr>
        <w:tab/>
        <w:t xml:space="preserve">Fachliche Auswertung: Es findet eine Redoxreaktion statt. </w:t>
      </w:r>
    </w:p>
    <w:p w:rsidR="00C901FD" w:rsidRDefault="005F7873">
      <w:pPr>
        <w:ind w:left="1890" w:hanging="1890"/>
      </w:pPr>
      <w:r>
        <w:rPr>
          <w:color w:val="auto"/>
        </w:rPr>
        <w:tab/>
      </w:r>
      <m:oMath>
        <m:r>
          <m:rPr>
            <m:sty m:val="p"/>
          </m:rPr>
          <w:rPr>
            <w:rFonts w:ascii="Cambria Math" w:hAnsi="Cambria Math"/>
          </w:rPr>
          <m:t>Ox</m:t>
        </m:r>
        <m:r>
          <w:rPr>
            <w:rFonts w:ascii="Cambria Math" w:hAnsi="Cambria Math"/>
          </w:rPr>
          <m:t>:</m:t>
        </m:r>
        <m:r>
          <m:rPr>
            <m:sty m:val="p"/>
          </m:rPr>
          <w:rPr>
            <w:rFonts w:ascii="Cambria Math" w:hAnsi="Cambria Math"/>
          </w:rPr>
          <m:t xml:space="preserve">                Mg                               </m:t>
        </m:r>
        <m:r>
          <w:rPr>
            <w:rFonts w:ascii="Cambria Math" w:hAnsi="Cambria Math"/>
          </w:rPr>
          <m:t>→</m:t>
        </m:r>
        <m:r>
          <m:rPr>
            <m:sty m:val="p"/>
          </m:rPr>
          <w:rPr>
            <w:rFonts w:ascii="Cambria Math" w:hAnsi="Cambria Math"/>
          </w:rPr>
          <m:t>M</m:t>
        </m:r>
        <m:sSup>
          <m:sSupPr>
            <m:ctrlPr>
              <w:rPr>
                <w:rFonts w:ascii="Cambria Math" w:hAnsi="Cambria Math"/>
              </w:rPr>
            </m:ctrlPr>
          </m:sSupPr>
          <m:e>
            <m:r>
              <m:rPr>
                <m:sty m:val="p"/>
              </m:rPr>
              <w:rPr>
                <w:rFonts w:ascii="Cambria Math" w:hAnsi="Cambria Math"/>
              </w:rPr>
              <m:t>g</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2</m:t>
            </m:r>
            <m:r>
              <m:rPr>
                <m:sty m:val="p"/>
              </m:rPr>
              <w:rPr>
                <w:rFonts w:ascii="Cambria Math" w:hAnsi="Cambria Math"/>
              </w:rPr>
              <m:t>e</m:t>
            </m:r>
          </m:e>
          <m:sup>
            <m:r>
              <w:rPr>
                <w:rFonts w:ascii="Cambria Math" w:hAnsi="Cambria Math"/>
              </w:rPr>
              <m:t>-</m:t>
            </m:r>
          </m:sup>
        </m:sSup>
      </m:oMath>
      <w:r>
        <w:rPr>
          <w:rFonts w:eastAsia="Times New Roman"/>
          <w:color w:val="000000"/>
        </w:rPr>
        <w:t xml:space="preserve"> </w:t>
      </w:r>
    </w:p>
    <w:p w:rsidR="00C901FD" w:rsidRDefault="005F7873">
      <w:pPr>
        <w:ind w:left="1890" w:hanging="1890"/>
      </w:pPr>
      <w:r>
        <w:rPr>
          <w:color w:val="000000"/>
        </w:rPr>
        <w:tab/>
      </w:r>
      <m:oMath>
        <m:r>
          <m:rPr>
            <m:sty m:val="p"/>
          </m:rPr>
          <w:rPr>
            <w:rFonts w:ascii="Cambria Math" w:hAnsi="Cambria Math"/>
          </w:rPr>
          <m:t>Red</m:t>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 xml:space="preserve">  O</m:t>
            </m:r>
          </m:e>
          <m:sub>
            <m:r>
              <w:rPr>
                <w:rFonts w:ascii="Cambria Math" w:hAnsi="Cambria Math"/>
              </w:rPr>
              <m:t>2</m:t>
            </m:r>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+4</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p>
          <m:sSupPr>
            <m:ctrlPr>
              <w:rPr>
                <w:rFonts w:ascii="Cambria Math" w:hAnsi="Cambria Math"/>
              </w:rPr>
            </m:ctrlPr>
          </m:sSupPr>
          <m:e>
            <m:r>
              <m:rPr>
                <m:sty m:val="p"/>
              </m:rPr>
              <w:rPr>
                <w:rFonts w:ascii="Cambria Math" w:hAnsi="Cambria Math"/>
              </w:rPr>
              <m:t>e</m:t>
            </m:r>
          </m:e>
          <m:sup>
            <m:r>
              <w:rPr>
                <w:rFonts w:ascii="Cambria Math" w:hAnsi="Cambria Math"/>
              </w:rPr>
              <m:t>-</m:t>
            </m:r>
          </m:sup>
        </m:sSup>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→2</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p>
          <m:sSupPr>
            <m:ctrlPr>
              <w:rPr>
                <w:rFonts w:ascii="Cambria Math" w:hAnsi="Cambria Math"/>
              </w:rPr>
            </m:ctrlPr>
          </m:sSupPr>
          <m:e>
            <m:r>
              <m:rPr>
                <m:sty m:val="p"/>
              </m:rPr>
              <w:rPr>
                <w:rFonts w:ascii="Cambria Math" w:hAnsi="Cambria Math"/>
              </w:rPr>
              <m:t>O</m:t>
            </m:r>
          </m:e>
          <m:sup>
            <m:r>
              <w:rPr>
                <w:rFonts w:ascii="Cambria Math" w:hAnsi="Cambria Math"/>
              </w:rPr>
              <m:t>2-</m:t>
            </m:r>
          </m:sup>
        </m:sSup>
      </m:oMath>
    </w:p>
    <w:p w:rsidR="00C901FD" w:rsidRDefault="005F7873">
      <w:pPr>
        <w:ind w:left="1890" w:hanging="1890"/>
      </w:pPr>
      <w:r>
        <w:rPr>
          <w:color w:val="000000"/>
        </w:rPr>
        <w:tab/>
      </w:r>
      <m:oMath>
        <m:r>
          <m:rPr>
            <m:sty m:val="p"/>
          </m:rPr>
          <w:rPr>
            <w:rFonts w:ascii="Cambria Math" w:hAnsi="Cambria Math"/>
          </w:rPr>
          <m:t>Gesamt</m:t>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2</m:t>
        </m:r>
        <m:r>
          <m:rPr>
            <m:sty m:val="p"/>
          </m:rPr>
          <w:rPr>
            <w:rFonts w:ascii="Cambria Math" w:hAnsi="Cambria Math"/>
          </w:rPr>
          <m:t xml:space="preserve"> M</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s</m:t>
                </m:r>
              </m:e>
            </m:d>
            <m:r>
              <m:rPr>
                <m:sty m:val="p"/>
              </m:rPr>
              <w:rPr>
                <w:rFonts w:ascii="Cambria Math" w:hAnsi="Cambria Math"/>
              </w:rPr>
              <m:t xml:space="preserve"> </m:t>
            </m:r>
            <m:r>
              <w:rPr>
                <w:rFonts w:ascii="Cambria Math" w:hAnsi="Cambria Math"/>
              </w:rPr>
              <w:tab/>
            </m:r>
            <m:r>
              <w:rPr>
                <w:rFonts w:ascii="Cambria Math" w:hAnsi="Cambria Math"/>
              </w:rPr>
              <w:tab/>
            </m:r>
            <m:r>
              <w:rPr>
                <w:rFonts w:ascii="Cambria Math" w:hAnsi="Cambria Math"/>
              </w:rPr>
              <w:tab/>
            </m:r>
            <m:r>
              <w:rPr>
                <w:rFonts w:ascii="Cambria Math" w:hAnsi="Cambria Math"/>
              </w:rPr>
              <w:tab/>
            </m:r>
            <m:r>
              <w:rPr>
                <w:rFonts w:ascii="Cambria Math" w:hAnsi="Cambria Math"/>
              </w:rPr>
              <w:tab/>
            </m:r>
            <m:r>
              <w:rPr>
                <w:rFonts w:ascii="Cambria Math" w:hAnsi="Cambria Math"/>
              </w:rPr>
              <w:tab/>
            </m:r>
            <m:r>
              <w:rPr>
                <w:rFonts w:ascii="Cambria Math" w:hAnsi="Cambria Math"/>
              </w:rPr>
              <w:tab/>
            </m:r>
          </m:sub>
        </m:sSub>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e>
          <m:sub>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→2</m:t>
        </m:r>
        <m:r>
          <m:rPr>
            <m:sty m:val="p"/>
          </m:rPr>
          <w:rPr>
            <w:rFonts w:ascii="Cambria Math" w:hAnsi="Cambria Math"/>
          </w:rPr>
          <m:t xml:space="preserve"> Mg</m:t>
        </m:r>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oMath>
    </w:p>
    <w:p w:rsidR="00C901FD" w:rsidRDefault="005F7873">
      <w:pPr>
        <w:spacing w:line="276" w:lineRule="auto"/>
        <w:jc w:val="left"/>
      </w:pPr>
      <w:r>
        <w:t>Entsorgung:</w:t>
      </w:r>
      <w:r>
        <w:tab/>
        <w:t xml:space="preserve">          Magnesiumoxid ist nicht giftig und kann im Hausmüll entsorgt werden. </w:t>
      </w:r>
    </w:p>
    <w:p w:rsidR="00C901FD" w:rsidRDefault="005F7873">
      <w:pPr>
        <w:spacing w:line="276" w:lineRule="auto"/>
        <w:jc w:val="left"/>
      </w:pPr>
      <w:r>
        <w:t>Literatur:</w:t>
      </w:r>
      <w:r>
        <w:tab/>
        <w:t xml:space="preserve">           </w:t>
      </w:r>
    </w:p>
    <w:p w:rsidR="00C901FD" w:rsidRDefault="005F7873">
      <w:r>
        <w:t>Seilnacht, T., http://www.seilnacht.com/versuche/mgband</w:t>
      </w:r>
      <w:r>
        <w:t>.html 26.07.2016 (Zuletzt abgerufen am 26.07.2016 um 14:36Uhr).</w:t>
      </w:r>
    </w:p>
    <w:p w:rsidR="00C901FD" w:rsidRDefault="005F7873">
      <w:r>
        <w:rPr>
          <w:noProof/>
          <w:lang w:eastAsia="de-DE"/>
        </w:rPr>
        <mc:AlternateContent>
          <mc:Choice Requires="wps">
            <w:drawing>
              <wp:inline distT="0" distB="0" distL="0" distR="0">
                <wp:extent cx="5760720" cy="2438403"/>
                <wp:effectExtent l="0" t="0" r="11430" b="19047"/>
                <wp:docPr id="12" name="Text Box 131"/>
                <wp:cNvGraphicFramePr/>
                <a:graphic xmlns:a="http://schemas.openxmlformats.org/drawingml/2006/main">
                  <a:graphicData uri="http://schemas.microsoft.com/office/word/2010/wordprocessingShape">
                    <wps:wsp>
                      <wps:cNvSpPr txBox="1"/>
                      <wps:spPr>
                        <a:xfrm>
                          <a:off x="0" y="0"/>
                          <a:ext cx="5760720" cy="2438403"/>
                        </a:xfrm>
                        <a:prstGeom prst="rect">
                          <a:avLst/>
                        </a:prstGeom>
                        <a:solidFill>
                          <a:srgbClr val="FFFFFF"/>
                        </a:solidFill>
                        <a:ln w="12701">
                          <a:solidFill>
                            <a:srgbClr val="C0504D"/>
                          </a:solidFill>
                          <a:prstDash val="dash"/>
                        </a:ln>
                      </wps:spPr>
                      <wps:txbx>
                        <w:txbxContent>
                          <w:p w:rsidR="00C901FD" w:rsidRDefault="005F7873">
                            <w:pPr>
                              <w:rPr>
                                <w:color w:val="auto"/>
                              </w:rPr>
                            </w:pPr>
                            <w:r>
                              <w:rPr>
                                <w:color w:val="auto"/>
                              </w:rPr>
                              <w:t>Während der Durchführung ist auf ausreichende Sicherheitsbekleidung zu achten. Es darf nicht direkt in die Flamme geschaut werden. Aufgrund der Heftigkeit der Reaktion sollte der Versuch al</w:t>
                            </w:r>
                            <w:r>
                              <w:rPr>
                                <w:color w:val="auto"/>
                              </w:rPr>
                              <w:t xml:space="preserve">s Lehrerversuch durchgeführt werden. </w:t>
                            </w:r>
                          </w:p>
                          <w:p w:rsidR="00C901FD" w:rsidRDefault="005F7873">
                            <w:r>
                              <w:rPr>
                                <w:color w:val="auto"/>
                              </w:rPr>
                              <w:t xml:space="preserve">Zur Einführung ins Thema der chemischen Reaktion bietet sich die Reaktion von Schwefel mit Eisen zu </w:t>
                            </w:r>
                            <w:r>
                              <w:rPr>
                                <w:color w:val="000000"/>
                              </w:rPr>
                              <w:t xml:space="preserve">Eisensulfid an. Beide Versuche liefern Produkte, die sich äußerlich stark von den eingesetzten Edukten unterscheiden, </w:t>
                            </w:r>
                            <w:r>
                              <w:rPr>
                                <w:color w:val="000000"/>
                              </w:rPr>
                              <w:t>sodass der Stoffumsatz deutlich erkennbar ist. Die Reaktion zwischen Eisen und Schwefel ist jedoch ungefährlicher in der Durchführung und kann sogar als Schülerversuch durchgeführt werden. Der Versuch mit Magnesium eignet sich, um den klassischen Oxidation</w:t>
                            </w:r>
                            <w:r>
                              <w:rPr>
                                <w:color w:val="000000"/>
                              </w:rPr>
                              <w:t>sbegriff, also Oxidation als eine Reaktion mit Sauerstoff, einzuführen.</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" strokecolor="#c0504d" strokeweight=".35281mm">
                <v:stroke dashstyle="dash"/>
                <v:textbox>
                  <w:txbxContent>
                    <w:p w:rsidR="00C901FD" w:rsidRDefault="005F7873">
                      <w:pPr>
                        <w:rPr>
                          <w:color w:val="auto"/>
                        </w:rPr>
                      </w:pPr>
                      <w:r>
                        <w:rPr>
                          <w:color w:val="auto"/>
                        </w:rPr>
                        <w:t>Während der Durchführung ist auf ausreichende Sicherheitsbekleidung zu achten. Es darf nicht direkt in die Flamme geschaut werden. Aufgrund der Heftigkeit der Reaktion sollte der Versuch al</w:t>
                      </w:r>
                      <w:r>
                        <w:rPr>
                          <w:color w:val="auto"/>
                        </w:rPr>
                        <w:t xml:space="preserve">s Lehrerversuch durchgeführt werden. </w:t>
                      </w:r>
                    </w:p>
                    <w:p w:rsidR="00C901FD" w:rsidRDefault="005F7873">
                      <w:r>
                        <w:rPr>
                          <w:color w:val="auto"/>
                        </w:rPr>
                        <w:t xml:space="preserve">Zur Einführung ins Thema der chemischen Reaktion bietet sich die Reaktion von Schwefel mit Eisen zu </w:t>
                      </w:r>
                      <w:r>
                        <w:rPr>
                          <w:color w:val="000000"/>
                        </w:rPr>
                        <w:t xml:space="preserve">Eisensulfid an. Beide Versuche liefern Produkte, die sich äußerlich stark von den eingesetzten Edukten unterscheiden, </w:t>
                      </w:r>
                      <w:r>
                        <w:rPr>
                          <w:color w:val="000000"/>
                        </w:rPr>
                        <w:t>sodass der Stoffumsatz deutlich erkennbar ist. Die Reaktion zwischen Eisen und Schwefel ist jedoch ungefährlicher in der Durchführung und kann sogar als Schülerversuch durchgeführt werden. Der Versuch mit Magnesium eignet sich, um den klassischen Oxidation</w:t>
                      </w:r>
                      <w:r>
                        <w:rPr>
                          <w:color w:val="000000"/>
                        </w:rPr>
                        <w:t>sbegriff, also Oxidation als eine Reaktion mit Sauerstoff, einzuführen.</w:t>
                      </w:r>
                    </w:p>
                  </w:txbxContent>
                </v:textbox>
                <w10:anchorlock/>
              </v:shape>
            </w:pict>
          </mc:Fallback>
        </mc:AlternateContent>
      </w:r>
    </w:p>
    <w:sectPr w:rsidR="00C901FD">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873" w:rsidRDefault="005F7873">
      <w:pPr>
        <w:spacing w:after="0" w:line="240" w:lineRule="auto"/>
      </w:pPr>
      <w:r>
        <w:separator/>
      </w:r>
    </w:p>
  </w:endnote>
  <w:endnote w:type="continuationSeparator" w:id="0">
    <w:p w:rsidR="005F7873" w:rsidRDefault="005F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873" w:rsidRDefault="005F7873">
      <w:pPr>
        <w:spacing w:after="0" w:line="240" w:lineRule="auto"/>
      </w:pPr>
      <w:r>
        <w:rPr>
          <w:color w:val="000000"/>
        </w:rPr>
        <w:separator/>
      </w:r>
    </w:p>
  </w:footnote>
  <w:footnote w:type="continuationSeparator" w:id="0">
    <w:p w:rsidR="005F7873" w:rsidRDefault="005F7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835B3"/>
    <w:multiLevelType w:val="multilevel"/>
    <w:tmpl w:val="8E002B18"/>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901FD"/>
    <w:rsid w:val="005F7873"/>
    <w:rsid w:val="00BA7880"/>
    <w:rsid w:val="00C90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D040B-7037-419A-BE5D-C4684EDE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2016-08-12T11:14:00Z</dcterms:created>
  <dcterms:modified xsi:type="dcterms:W3CDTF">2016-08-12T11:14:00Z</dcterms:modified>
</cp:coreProperties>
</file>