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FFE" w:rsidRDefault="0062593E">
      <w:pPr>
        <w:keepNext/>
        <w:keepLines/>
        <w:spacing w:before="200" w:after="200" w:line="360" w:lineRule="auto"/>
        <w:ind w:left="576" w:hanging="576"/>
        <w:jc w:val="both"/>
      </w:pPr>
      <w:bookmarkStart w:id="0" w:name="_Toc458502457"/>
      <w:bookmarkStart w:id="1" w:name="_GoBack"/>
      <w:bookmarkEnd w:id="1"/>
      <w:r>
        <w:rPr>
          <w:rFonts w:ascii="Cambria" w:eastAsia="MS Gothic" w:hAnsi="Cambria"/>
          <w:b/>
          <w:bCs/>
          <w:szCs w:val="26"/>
        </w:rPr>
        <w:t xml:space="preserve">V4 – </w:t>
      </w:r>
      <w:r>
        <w:rPr>
          <w:rFonts w:ascii="Cambria" w:eastAsia="MS Gothic" w:hAnsi="Cambria"/>
          <w:b/>
          <w:bCs/>
          <w:noProof/>
          <w:color w:val="1D1B11"/>
          <w:szCs w:val="26"/>
          <w:lang w:eastAsia="de-D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395606</wp:posOffset>
                </wp:positionV>
                <wp:extent cx="5873118" cy="771525"/>
                <wp:effectExtent l="0" t="0" r="13332" b="28575"/>
                <wp:wrapSquare wrapText="bothSides"/>
                <wp:docPr id="1" name="Text Box 60"/>
                <wp:cNvGraphicFramePr/>
                <a:graphic xmlns:a="http://schemas.openxmlformats.org/drawingml/2006/main">
                  <a:graphicData uri="http://schemas.microsoft.com/office/word/2010/wordprocessingShape">
                    <wps:wsp>
                      <wps:cNvSpPr txBox="1"/>
                      <wps:spPr>
                        <a:xfrm>
                          <a:off x="0" y="0"/>
                          <a:ext cx="5873118" cy="771525"/>
                        </a:xfrm>
                        <a:prstGeom prst="rect">
                          <a:avLst/>
                        </a:prstGeom>
                        <a:solidFill>
                          <a:srgbClr val="FFFFFF"/>
                        </a:solidFill>
                        <a:ln w="12701">
                          <a:solidFill>
                            <a:srgbClr val="4BACC6"/>
                          </a:solidFill>
                          <a:prstDash val="dash"/>
                        </a:ln>
                      </wps:spPr>
                      <wps:txbx>
                        <w:txbxContent>
                          <w:p w:rsidR="00B93FFE" w:rsidRDefault="0062593E">
                            <w:r>
                              <w:t xml:space="preserve">Mithilfe des Versuches erfahren die SuS, dass chemische Reaktionen mit einem Energieumsatz verbunden sind, der sich hier darin zeigt, dass der Umgebung Wärme entzogen wird. </w:t>
                            </w:r>
                            <w:r>
                              <w:t xml:space="preserve">Die technische Anwendung als Kühlkissen ist den SuS aus dem Sportunterricht bekannt. </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0;margin-top:31.15pt;width:462.45pt;height:60.7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Uz+wEAAPkDAAAOAAAAZHJzL2Uyb0RvYy54bWysU9uO2jAQfa/Uf7D8XnIpkG1EWO2CqCqt&#10;2krsfoDjOMSSb7UNCf36jp0U2HafqvJg5pbjM2fGq/tBCnRi1nGtKpzNUoyYorrh6lDhl+fdhzuM&#10;nCeqIUIrVuEzc/h+/f7dqjcly3WnRcMsAhDlyt5UuPPelEniaMckcTNtmIJkq60kHlx7SBpLekCX&#10;IsnTdJn02jbGasqcg+h2TOJ1xG9bRv23tnXMI1Fh4ObjaeNZhzNZr0h5sMR0nE40yD+wkIQruPQC&#10;tSWeoKPlf0FJTq12uvUzqmWi25ZTFnuAbrL0j272HTEs9gLiOHORyf0/WPr19N0i3sDsMFJEwoie&#10;2eDRox7QMsrTG1dC1d5AnR8gHkpBthB3EAxdD62V4R/6QZAHoc8XcQMaheDirviYZbAOFHJFkS3y&#10;RYBJrl8b6/xnpiUKRoUtDC9qSk5Pzo+lv0vCZU4L3uy4ENGxh3ojLDoRGPQu/ib0V2VCoR7450Wa&#10;RehXSXeLMX982GyWb2EEDlviuvGuBqypSiho5ypLsPxQD5NWtW7OICG8Feit0/YnRj3sXYXdjyOx&#10;DCPxRcFgP2XzeVjU6MwXRQ6Ovc3UtxmiKEBV2GM0mhs/LjdslyH+Se0NDZMIEin9cPS65VHKQG5k&#10;NHGG/YrDmN5CWOBbP1ZdX+z6FwAAAP//AwBQSwMEFAAGAAgAAAAhAHP7kbXdAAAABwEAAA8AAABk&#10;cnMvZG93bnJldi54bWxMj8FOwzAQRO9I/IO1SNyoQ4KqNMSpAIkL6qUFBEc3XpKo8W4Uu2nK17Oc&#10;4Dia0cybcj37Xk04ho7JwO0iAYVUs+uoMfD2+nyTgwrRkrM9Exo4Y4B1dXlR2sLxibY47WKjpIRC&#10;YQ20MQ6F1qFu0duw4AFJvC8evY0ix0a70Z6k3Pc6TZKl9rYjWWjtgE8t1ofd0RvgTfx4n/hcfx9e&#10;Nt3now7TNsuNub6aH+5BRZzjXxh+8QUdKmHa85FcUL0BORINLNMMlLir9G4Fai+xPMtBV6X+z1/9&#10;AAAA//8DAFBLAQItABQABgAIAAAAIQC2gziS/gAAAOEBAAATAAAAAAAAAAAAAAAAAAAAAABbQ29u&#10;dGVudF9UeXBlc10ueG1sUEsBAi0AFAAGAAgAAAAhADj9If/WAAAAlAEAAAsAAAAAAAAAAAAAAAAA&#10;LwEAAF9yZWxzLy5yZWxzUEsBAi0AFAAGAAgAAAAhAMMYtTP7AQAA+QMAAA4AAAAAAAAAAAAAAAAA&#10;LgIAAGRycy9lMm9Eb2MueG1sUEsBAi0AFAAGAAgAAAAhAHP7kbXdAAAABwEAAA8AAAAAAAAAAAAA&#10;AAAAVQQAAGRycy9kb3ducmV2LnhtbFBLBQYAAAAABAAEAPMAAABfBQAAAAA=&#10;" strokecolor="#4bacc6" strokeweight=".35281mm">
                <v:stroke dashstyle="dash"/>
                <v:textbox>
                  <w:txbxContent>
                    <w:p w:rsidR="00B93FFE" w:rsidRDefault="0062593E">
                      <w:r>
                        <w:t xml:space="preserve">Mithilfe des Versuches erfahren die SuS, dass chemische Reaktionen mit einem Energieumsatz verbunden sind, der sich hier darin zeigt, dass der Umgebung Wärme entzogen wird. </w:t>
                      </w:r>
                      <w:r>
                        <w:t xml:space="preserve">Die technische Anwendung als Kühlkissen ist den SuS aus dem Sportunterricht bekannt. </w:t>
                      </w:r>
                    </w:p>
                  </w:txbxContent>
                </v:textbox>
                <w10:wrap type="square" anchorx="margin"/>
              </v:shape>
            </w:pict>
          </mc:Fallback>
        </mc:AlternateContent>
      </w:r>
      <w:r>
        <w:rPr>
          <w:rFonts w:ascii="Cambria" w:eastAsia="MS Gothic" w:hAnsi="Cambria"/>
          <w:b/>
          <w:bCs/>
          <w:szCs w:val="26"/>
        </w:rPr>
        <w:t>Chemische Reaktion im Kühlkissen</w:t>
      </w:r>
      <w:bookmarkEnd w:id="0"/>
      <w:r>
        <w:rPr>
          <w:rFonts w:ascii="Cambria" w:eastAsia="MS Gothic" w:hAnsi="Cambria"/>
          <w:b/>
          <w:bCs/>
          <w:szCs w:val="26"/>
        </w:rPr>
        <w:t xml:space="preserve"> </w:t>
      </w:r>
    </w:p>
    <w:tbl>
      <w:tblPr>
        <w:tblW w:w="9322" w:type="dxa"/>
        <w:tblLayout w:type="fixed"/>
        <w:tblCellMar>
          <w:left w:w="10" w:type="dxa"/>
          <w:right w:w="10" w:type="dxa"/>
        </w:tblCellMar>
        <w:tblLook w:val="04A0" w:firstRow="1" w:lastRow="0" w:firstColumn="1" w:lastColumn="0" w:noHBand="0" w:noVBand="1"/>
      </w:tblPr>
      <w:tblGrid>
        <w:gridCol w:w="1009"/>
        <w:gridCol w:w="1009"/>
        <w:gridCol w:w="1009"/>
        <w:gridCol w:w="1009"/>
        <w:gridCol w:w="1175"/>
        <w:gridCol w:w="1016"/>
        <w:gridCol w:w="952"/>
        <w:gridCol w:w="1009"/>
        <w:gridCol w:w="1134"/>
      </w:tblGrid>
      <w:tr w:rsidR="00B93FFE">
        <w:tblPrEx>
          <w:tblCellMar>
            <w:top w:w="0" w:type="dxa"/>
            <w:bottom w:w="0" w:type="dxa"/>
          </w:tblCellMar>
        </w:tblPrEx>
        <w:tc>
          <w:tcPr>
            <w:tcW w:w="9322" w:type="dxa"/>
            <w:gridSpan w:val="9"/>
            <w:tcBorders>
              <w:top w:val="single" w:sz="8" w:space="0" w:color="4F81BD"/>
              <w:left w:val="single" w:sz="8" w:space="0" w:color="4F81BD"/>
              <w:right w:val="single" w:sz="8" w:space="0" w:color="4F81BD"/>
            </w:tcBorders>
            <w:shd w:val="clear" w:color="auto" w:fill="4F81BD"/>
            <w:tcMar>
              <w:top w:w="0" w:type="dxa"/>
              <w:left w:w="108" w:type="dxa"/>
              <w:bottom w:w="0" w:type="dxa"/>
              <w:right w:w="108" w:type="dxa"/>
            </w:tcMar>
            <w:vAlign w:val="center"/>
          </w:tcPr>
          <w:p w:rsidR="00B93FFE" w:rsidRDefault="0062593E">
            <w:pPr>
              <w:spacing w:after="0" w:line="360" w:lineRule="auto"/>
              <w:jc w:val="center"/>
              <w:rPr>
                <w:rFonts w:ascii="Cambria" w:hAnsi="Cambria" w:cs="Arial"/>
                <w:b/>
                <w:bCs/>
                <w:color w:val="FFFFFF"/>
              </w:rPr>
            </w:pPr>
            <w:r>
              <w:rPr>
                <w:rFonts w:ascii="Cambria" w:hAnsi="Cambria" w:cs="Arial"/>
                <w:b/>
                <w:bCs/>
                <w:color w:val="FFFFFF"/>
              </w:rPr>
              <w:t>Gefahrenstoffe</w:t>
            </w:r>
          </w:p>
        </w:tc>
      </w:tr>
      <w:tr w:rsidR="00B93FFE">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B93FFE" w:rsidRDefault="0062593E">
            <w:pPr>
              <w:spacing w:after="0" w:line="276" w:lineRule="auto"/>
              <w:jc w:val="center"/>
              <w:rPr>
                <w:rFonts w:ascii="Cambria" w:hAnsi="Cambria" w:cs="Arial"/>
                <w:bCs/>
                <w:color w:val="1D1B11"/>
                <w:sz w:val="20"/>
                <w:szCs w:val="20"/>
              </w:rPr>
            </w:pPr>
            <w:r>
              <w:rPr>
                <w:rFonts w:ascii="Cambria" w:hAnsi="Cambria" w:cs="Arial"/>
                <w:bCs/>
                <w:color w:val="1D1B11"/>
                <w:sz w:val="20"/>
                <w:szCs w:val="20"/>
              </w:rPr>
              <w:t>Ammoniumnitrat</w:t>
            </w:r>
          </w:p>
        </w:tc>
        <w:tc>
          <w:tcPr>
            <w:tcW w:w="3200"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B93FFE" w:rsidRDefault="0062593E">
            <w:pPr>
              <w:spacing w:after="0" w:line="276" w:lineRule="auto"/>
              <w:rPr>
                <w:rFonts w:ascii="Cambria" w:hAnsi="Cambria" w:cs="Arial"/>
                <w:color w:val="1D1B11"/>
                <w:sz w:val="20"/>
                <w:szCs w:val="20"/>
              </w:rPr>
            </w:pPr>
            <w:r>
              <w:rPr>
                <w:rFonts w:ascii="Cambria" w:hAnsi="Cambria" w:cs="Arial"/>
                <w:color w:val="1D1B11"/>
                <w:sz w:val="20"/>
                <w:szCs w:val="20"/>
              </w:rPr>
              <w:t>H: 272</w:t>
            </w:r>
          </w:p>
        </w:tc>
        <w:tc>
          <w:tcPr>
            <w:tcW w:w="3095"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B93FFE" w:rsidRDefault="0062593E">
            <w:pPr>
              <w:spacing w:after="0" w:line="276" w:lineRule="auto"/>
              <w:rPr>
                <w:rFonts w:ascii="Cambria" w:hAnsi="Cambria" w:cs="Arial"/>
                <w:color w:val="1D1B11"/>
                <w:sz w:val="20"/>
                <w:szCs w:val="20"/>
              </w:rPr>
            </w:pPr>
            <w:r>
              <w:rPr>
                <w:rFonts w:ascii="Cambria" w:hAnsi="Cambria" w:cs="Arial"/>
                <w:color w:val="1D1B11"/>
                <w:sz w:val="20"/>
                <w:szCs w:val="20"/>
              </w:rPr>
              <w:t xml:space="preserve">P: 210, 221, 280.3   </w:t>
            </w:r>
          </w:p>
        </w:tc>
      </w:tr>
      <w:tr w:rsidR="00B93FFE">
        <w:tblPrEx>
          <w:tblCellMar>
            <w:top w:w="0" w:type="dxa"/>
            <w:bottom w:w="0" w:type="dxa"/>
          </w:tblCellMar>
        </w:tblPrEx>
        <w:trPr>
          <w:trHeight w:val="434"/>
        </w:trPr>
        <w:tc>
          <w:tcPr>
            <w:tcW w:w="3027" w:type="dxa"/>
            <w:gridSpan w:val="3"/>
            <w:tcBorders>
              <w:left w:val="single" w:sz="8" w:space="0" w:color="4F81BD"/>
            </w:tcBorders>
            <w:shd w:val="clear" w:color="auto" w:fill="auto"/>
            <w:tcMar>
              <w:top w:w="0" w:type="dxa"/>
              <w:left w:w="108" w:type="dxa"/>
              <w:bottom w:w="0" w:type="dxa"/>
              <w:right w:w="108" w:type="dxa"/>
            </w:tcMar>
            <w:vAlign w:val="center"/>
          </w:tcPr>
          <w:p w:rsidR="00B93FFE" w:rsidRDefault="0062593E">
            <w:pPr>
              <w:spacing w:after="0" w:line="276" w:lineRule="auto"/>
              <w:jc w:val="center"/>
            </w:pPr>
            <w:r>
              <w:rPr>
                <w:rFonts w:ascii="Cambria" w:hAnsi="Cambria" w:cs="Arial"/>
                <w:color w:val="1D1B11"/>
                <w:sz w:val="20"/>
                <w:szCs w:val="20"/>
              </w:rPr>
              <w:t xml:space="preserve">Bariumhydroxid-octahydrat  </w:t>
            </w:r>
          </w:p>
        </w:tc>
        <w:tc>
          <w:tcPr>
            <w:tcW w:w="3200" w:type="dxa"/>
            <w:gridSpan w:val="3"/>
            <w:shd w:val="clear" w:color="auto" w:fill="auto"/>
            <w:tcMar>
              <w:top w:w="0" w:type="dxa"/>
              <w:left w:w="108" w:type="dxa"/>
              <w:bottom w:w="0" w:type="dxa"/>
              <w:right w:w="108" w:type="dxa"/>
            </w:tcMar>
            <w:vAlign w:val="center"/>
          </w:tcPr>
          <w:p w:rsidR="00B93FFE" w:rsidRDefault="0062593E">
            <w:pPr>
              <w:spacing w:after="0" w:line="276" w:lineRule="auto"/>
              <w:rPr>
                <w:rFonts w:ascii="Cambria" w:hAnsi="Cambria" w:cs="Arial"/>
                <w:bCs/>
                <w:sz w:val="20"/>
                <w:szCs w:val="20"/>
              </w:rPr>
            </w:pPr>
            <w:r>
              <w:rPr>
                <w:rFonts w:ascii="Cambria" w:hAnsi="Cambria" w:cs="Arial"/>
                <w:bCs/>
                <w:sz w:val="20"/>
                <w:szCs w:val="20"/>
              </w:rPr>
              <w:t>H: 302, 314, 332</w:t>
            </w:r>
          </w:p>
        </w:tc>
        <w:tc>
          <w:tcPr>
            <w:tcW w:w="3095" w:type="dxa"/>
            <w:gridSpan w:val="3"/>
            <w:tcBorders>
              <w:right w:val="single" w:sz="8" w:space="0" w:color="4F81BD"/>
            </w:tcBorders>
            <w:shd w:val="clear" w:color="auto" w:fill="auto"/>
            <w:tcMar>
              <w:top w:w="0" w:type="dxa"/>
              <w:left w:w="108" w:type="dxa"/>
              <w:bottom w:w="0" w:type="dxa"/>
              <w:right w:w="108" w:type="dxa"/>
            </w:tcMar>
            <w:vAlign w:val="center"/>
          </w:tcPr>
          <w:p w:rsidR="00B93FFE" w:rsidRDefault="0062593E">
            <w:pPr>
              <w:spacing w:after="0" w:line="276" w:lineRule="auto"/>
              <w:rPr>
                <w:rFonts w:ascii="Cambria" w:hAnsi="Cambria" w:cs="Arial"/>
                <w:bCs/>
                <w:sz w:val="20"/>
                <w:szCs w:val="20"/>
              </w:rPr>
            </w:pPr>
            <w:r>
              <w:rPr>
                <w:rFonts w:ascii="Cambria" w:hAnsi="Cambria" w:cs="Arial"/>
                <w:bCs/>
                <w:sz w:val="20"/>
                <w:szCs w:val="20"/>
              </w:rPr>
              <w:t xml:space="preserve">P: 260, 280.1-3, </w:t>
            </w:r>
          </w:p>
          <w:p w:rsidR="00B93FFE" w:rsidRDefault="0062593E">
            <w:pPr>
              <w:spacing w:after="0" w:line="276" w:lineRule="auto"/>
              <w:rPr>
                <w:rFonts w:ascii="Cambria" w:hAnsi="Cambria" w:cs="Arial"/>
                <w:bCs/>
                <w:sz w:val="20"/>
                <w:szCs w:val="20"/>
              </w:rPr>
            </w:pPr>
            <w:r>
              <w:rPr>
                <w:rFonts w:ascii="Cambria" w:hAnsi="Cambria" w:cs="Arial"/>
                <w:bCs/>
                <w:sz w:val="20"/>
                <w:szCs w:val="20"/>
              </w:rPr>
              <w:t xml:space="preserve">301+312, </w:t>
            </w:r>
            <w:r>
              <w:rPr>
                <w:rFonts w:ascii="Cambria" w:hAnsi="Cambria" w:cs="Arial"/>
                <w:bCs/>
                <w:sz w:val="20"/>
                <w:szCs w:val="20"/>
              </w:rPr>
              <w:t xml:space="preserve">305+351+338  </w:t>
            </w:r>
          </w:p>
        </w:tc>
      </w:tr>
      <w:tr w:rsidR="00B93FFE">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B93FFE" w:rsidRDefault="0062593E">
            <w:pPr>
              <w:spacing w:after="0" w:line="276" w:lineRule="auto"/>
              <w:jc w:val="center"/>
              <w:rPr>
                <w:rFonts w:ascii="Cambria" w:hAnsi="Cambria" w:cs="Arial"/>
                <w:bCs/>
                <w:color w:val="000000"/>
                <w:sz w:val="20"/>
                <w:szCs w:val="20"/>
              </w:rPr>
            </w:pPr>
            <w:r>
              <w:rPr>
                <w:rFonts w:ascii="Cambria" w:hAnsi="Cambria" w:cs="Arial"/>
                <w:bCs/>
                <w:color w:val="000000"/>
                <w:sz w:val="20"/>
                <w:szCs w:val="20"/>
              </w:rPr>
              <w:t>Bariumthiocyanat</w:t>
            </w:r>
          </w:p>
        </w:tc>
        <w:tc>
          <w:tcPr>
            <w:tcW w:w="3200"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B93FFE" w:rsidRDefault="0062593E">
            <w:pPr>
              <w:spacing w:after="0" w:line="276" w:lineRule="auto"/>
              <w:rPr>
                <w:rFonts w:ascii="Cambria" w:hAnsi="Cambria" w:cs="Arial"/>
                <w:color w:val="000000"/>
                <w:sz w:val="20"/>
                <w:szCs w:val="20"/>
              </w:rPr>
            </w:pPr>
            <w:r>
              <w:rPr>
                <w:rFonts w:ascii="Cambria" w:hAnsi="Cambria" w:cs="Arial"/>
                <w:color w:val="000000"/>
                <w:sz w:val="20"/>
                <w:szCs w:val="20"/>
              </w:rPr>
              <w:t>H: 302+312+332​‐​412</w:t>
            </w:r>
          </w:p>
        </w:tc>
        <w:tc>
          <w:tcPr>
            <w:tcW w:w="3095"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B93FFE" w:rsidRDefault="0062593E">
            <w:pPr>
              <w:spacing w:after="0" w:line="276" w:lineRule="auto"/>
              <w:rPr>
                <w:rFonts w:ascii="Cambria" w:hAnsi="Cambria" w:cs="Arial"/>
                <w:color w:val="000000"/>
                <w:sz w:val="20"/>
                <w:szCs w:val="20"/>
              </w:rPr>
            </w:pPr>
            <w:r>
              <w:rPr>
                <w:rFonts w:ascii="Cambria" w:hAnsi="Cambria" w:cs="Arial"/>
                <w:color w:val="000000"/>
                <w:sz w:val="20"/>
                <w:szCs w:val="20"/>
              </w:rPr>
              <w:t>P: 261​‐​273​‐​280​‐​304+340​‐​363​‐​501</w:t>
            </w:r>
          </w:p>
        </w:tc>
      </w:tr>
      <w:tr w:rsidR="00B93FFE">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B93FFE" w:rsidRDefault="0062593E">
            <w:pPr>
              <w:spacing w:after="0" w:line="276" w:lineRule="auto"/>
              <w:jc w:val="center"/>
              <w:rPr>
                <w:rFonts w:ascii="Cambria" w:hAnsi="Cambria" w:cs="Arial"/>
                <w:bCs/>
                <w:color w:val="000000"/>
                <w:sz w:val="20"/>
                <w:szCs w:val="20"/>
              </w:rPr>
            </w:pPr>
            <w:r>
              <w:rPr>
                <w:rFonts w:ascii="Cambria" w:hAnsi="Cambria" w:cs="Arial"/>
                <w:bCs/>
                <w:color w:val="000000"/>
                <w:sz w:val="20"/>
                <w:szCs w:val="20"/>
              </w:rPr>
              <w:t xml:space="preserve">Ammoniak </w:t>
            </w:r>
          </w:p>
        </w:tc>
        <w:tc>
          <w:tcPr>
            <w:tcW w:w="3200"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B93FFE" w:rsidRDefault="0062593E">
            <w:pPr>
              <w:spacing w:after="0" w:line="276" w:lineRule="auto"/>
              <w:rPr>
                <w:rFonts w:ascii="Cambria" w:hAnsi="Cambria" w:cs="Arial"/>
                <w:color w:val="000000"/>
                <w:sz w:val="20"/>
                <w:szCs w:val="20"/>
              </w:rPr>
            </w:pPr>
            <w:r>
              <w:rPr>
                <w:rFonts w:ascii="Cambria" w:hAnsi="Cambria" w:cs="Arial"/>
                <w:color w:val="000000"/>
                <w:sz w:val="20"/>
                <w:szCs w:val="20"/>
              </w:rPr>
              <w:t>H: 3221- 280- 331-314 - 400</w:t>
            </w:r>
          </w:p>
        </w:tc>
        <w:tc>
          <w:tcPr>
            <w:tcW w:w="3095"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B93FFE" w:rsidRDefault="0062593E">
            <w:pPr>
              <w:spacing w:after="0" w:line="276" w:lineRule="auto"/>
              <w:rPr>
                <w:rFonts w:ascii="Cambria" w:hAnsi="Cambria" w:cs="Arial"/>
                <w:color w:val="000000"/>
                <w:sz w:val="20"/>
                <w:szCs w:val="20"/>
              </w:rPr>
            </w:pPr>
            <w:r>
              <w:rPr>
                <w:rFonts w:ascii="Cambria" w:hAnsi="Cambria" w:cs="Arial"/>
                <w:color w:val="000000"/>
                <w:sz w:val="20"/>
                <w:szCs w:val="20"/>
              </w:rPr>
              <w:t>P: 210- 260-280-273- 304+340-303+361+253-305+351+338-315-377-381</w:t>
            </w:r>
          </w:p>
        </w:tc>
      </w:tr>
      <w:tr w:rsidR="00B93FFE">
        <w:tblPrEx>
          <w:tblCellMar>
            <w:top w:w="0" w:type="dxa"/>
            <w:bottom w:w="0" w:type="dxa"/>
          </w:tblCellMar>
        </w:tblPrEx>
        <w:tc>
          <w:tcPr>
            <w:tcW w:w="1009"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B93FFE" w:rsidRDefault="0062593E">
            <w:pPr>
              <w:spacing w:after="0" w:line="360" w:lineRule="auto"/>
              <w:jc w:val="center"/>
            </w:pPr>
            <w:r>
              <w:rPr>
                <w:rFonts w:ascii="Cambria" w:hAnsi="Cambria" w:cs="Arial"/>
                <w:b/>
                <w:bCs/>
                <w:noProof/>
                <w:color w:val="1D1B11"/>
                <w:lang w:eastAsia="de-DE"/>
              </w:rPr>
              <w:drawing>
                <wp:inline distT="0" distB="0" distL="0" distR="0">
                  <wp:extent cx="514350" cy="514350"/>
                  <wp:effectExtent l="0" t="0" r="0" b="0"/>
                  <wp:docPr id="2" name="Grafik 9" descr="C:\Users\Caro\Desktop\SVP\Piktogramme\Ät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14350" cy="514350"/>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B93FFE" w:rsidRDefault="0062593E">
            <w:pPr>
              <w:spacing w:after="0" w:line="360" w:lineRule="auto"/>
              <w:jc w:val="center"/>
            </w:pPr>
            <w:r>
              <w:rPr>
                <w:rFonts w:ascii="Cambria" w:hAnsi="Cambria" w:cs="Arial"/>
                <w:noProof/>
                <w:color w:val="1D1B11"/>
                <w:lang w:eastAsia="de-DE"/>
              </w:rPr>
              <w:drawing>
                <wp:inline distT="0" distB="0" distL="0" distR="0">
                  <wp:extent cx="533396" cy="533396"/>
                  <wp:effectExtent l="0" t="0" r="4" b="4"/>
                  <wp:docPr id="3" name="Grafik 95" descr="C:\Users\Caro\Desktop\SVP\Piktogramme\Brandförder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flipH="1">
                            <a:off x="0" y="0"/>
                            <a:ext cx="533396" cy="533396"/>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B93FFE" w:rsidRDefault="0062593E">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4" name="Grafik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B93FFE" w:rsidRDefault="0062593E">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5" name="Grafik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04191" cy="504191"/>
                          </a:xfrm>
                          <a:prstGeom prst="rect">
                            <a:avLst/>
                          </a:prstGeom>
                          <a:noFill/>
                          <a:ln>
                            <a:noFill/>
                            <a:prstDash/>
                          </a:ln>
                        </pic:spPr>
                      </pic:pic>
                    </a:graphicData>
                  </a:graphic>
                </wp:inline>
              </w:drawing>
            </w:r>
          </w:p>
        </w:tc>
        <w:tc>
          <w:tcPr>
            <w:tcW w:w="11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B93FFE" w:rsidRDefault="0062593E">
            <w:pPr>
              <w:spacing w:after="0" w:line="360" w:lineRule="auto"/>
              <w:jc w:val="center"/>
            </w:pPr>
            <w:r>
              <w:rPr>
                <w:rFonts w:ascii="Cambria" w:hAnsi="Cambria" w:cs="Arial"/>
                <w:noProof/>
                <w:color w:val="1D1B11"/>
                <w:lang w:eastAsia="de-DE"/>
              </w:rPr>
              <w:drawing>
                <wp:inline distT="0" distB="0" distL="0" distR="0">
                  <wp:extent cx="504191" cy="504191"/>
                  <wp:effectExtent l="0" t="0" r="0" b="0"/>
                  <wp:docPr id="6" name="Grafik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04191" cy="504191"/>
                          </a:xfrm>
                          <a:prstGeom prst="rect">
                            <a:avLst/>
                          </a:prstGeom>
                          <a:noFill/>
                          <a:ln>
                            <a:noFill/>
                            <a:prstDash/>
                          </a:ln>
                        </pic:spPr>
                      </pic:pic>
                    </a:graphicData>
                  </a:graphic>
                </wp:inline>
              </w:drawing>
            </w:r>
          </w:p>
        </w:tc>
        <w:tc>
          <w:tcPr>
            <w:tcW w:w="1016"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B93FFE" w:rsidRDefault="0062593E">
            <w:pPr>
              <w:spacing w:after="0" w:line="360" w:lineRule="auto"/>
              <w:jc w:val="center"/>
            </w:pPr>
            <w:r>
              <w:rPr>
                <w:rFonts w:ascii="Cambria" w:hAnsi="Cambria" w:cs="Arial"/>
                <w:noProof/>
                <w:color w:val="1D1B11"/>
                <w:lang w:eastAsia="de-DE"/>
              </w:rPr>
              <w:drawing>
                <wp:inline distT="0" distB="0" distL="0" distR="0">
                  <wp:extent cx="542294" cy="542294"/>
                  <wp:effectExtent l="0" t="0" r="0" b="0"/>
                  <wp:docPr id="7" name="Grafik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42294" cy="542294"/>
                          </a:xfrm>
                          <a:prstGeom prst="rect">
                            <a:avLst/>
                          </a:prstGeom>
                          <a:noFill/>
                          <a:ln>
                            <a:noFill/>
                            <a:prstDash/>
                          </a:ln>
                        </pic:spPr>
                      </pic:pic>
                    </a:graphicData>
                  </a:graphic>
                </wp:inline>
              </w:drawing>
            </w:r>
          </w:p>
        </w:tc>
        <w:tc>
          <w:tcPr>
            <w:tcW w:w="952"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B93FFE" w:rsidRDefault="0062593E">
            <w:pPr>
              <w:spacing w:after="0" w:line="360" w:lineRule="auto"/>
              <w:jc w:val="center"/>
            </w:pPr>
            <w:r>
              <w:rPr>
                <w:rFonts w:ascii="Cambria" w:hAnsi="Cambria" w:cs="Arial"/>
                <w:noProof/>
                <w:color w:val="1D1B11"/>
                <w:lang w:eastAsia="de-DE"/>
              </w:rPr>
              <w:drawing>
                <wp:inline distT="0" distB="0" distL="0" distR="0">
                  <wp:extent cx="533396" cy="533396"/>
                  <wp:effectExtent l="0" t="0" r="4" b="4"/>
                  <wp:docPr id="8" name="Grafik 10" descr="C:\Users\Caro\Desktop\SVP\Piktogramme\Giftig.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33396" cy="533396"/>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B93FFE" w:rsidRDefault="0062593E">
            <w:pPr>
              <w:spacing w:after="0" w:line="360" w:lineRule="auto"/>
              <w:jc w:val="center"/>
            </w:pPr>
            <w:r>
              <w:rPr>
                <w:rFonts w:ascii="Cambria" w:hAnsi="Cambria" w:cs="Arial"/>
                <w:noProof/>
                <w:color w:val="1D1B11"/>
                <w:lang w:eastAsia="de-DE"/>
              </w:rPr>
              <w:drawing>
                <wp:inline distT="0" distB="0" distL="0" distR="0">
                  <wp:extent cx="561971" cy="561971"/>
                  <wp:effectExtent l="0" t="0" r="0" b="0"/>
                  <wp:docPr id="9" name="Grafik 4" descr="C:\Users\Caro\AppData\Local\Temp\Temp1_Piktogramme.zip\Piktogramme\Rei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flipH="1">
                            <a:off x="0" y="0"/>
                            <a:ext cx="561971" cy="561971"/>
                          </a:xfrm>
                          <a:prstGeom prst="rect">
                            <a:avLst/>
                          </a:prstGeom>
                          <a:noFill/>
                          <a:ln>
                            <a:noFill/>
                            <a:prstDash/>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B93FFE" w:rsidRDefault="0062593E">
            <w:pPr>
              <w:spacing w:after="0" w:line="360" w:lineRule="auto"/>
              <w:jc w:val="center"/>
            </w:pPr>
            <w:r>
              <w:rPr>
                <w:rFonts w:ascii="Cambria" w:hAnsi="Cambria" w:cs="Arial"/>
                <w:noProof/>
                <w:color w:val="1D1B11"/>
                <w:lang w:eastAsia="de-DE"/>
              </w:rPr>
              <w:drawing>
                <wp:inline distT="0" distB="0" distL="0" distR="0">
                  <wp:extent cx="581028" cy="581028"/>
                  <wp:effectExtent l="0" t="0" r="9522" b="9522"/>
                  <wp:docPr id="10" name="Grafik 13" descr="C:\Users\Caro\Desktop\SVP\Piktogramme\Umweltgefahr.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581028" cy="581028"/>
                          </a:xfrm>
                          <a:prstGeom prst="rect">
                            <a:avLst/>
                          </a:prstGeom>
                          <a:noFill/>
                          <a:ln>
                            <a:noFill/>
                            <a:prstDash/>
                          </a:ln>
                        </pic:spPr>
                      </pic:pic>
                    </a:graphicData>
                  </a:graphic>
                </wp:inline>
              </w:drawing>
            </w:r>
          </w:p>
        </w:tc>
      </w:tr>
    </w:tbl>
    <w:p w:rsidR="00B93FFE" w:rsidRDefault="00B93FFE">
      <w:pPr>
        <w:tabs>
          <w:tab w:val="left" w:pos="1701"/>
          <w:tab w:val="left" w:pos="1985"/>
        </w:tabs>
        <w:spacing w:after="200" w:line="360" w:lineRule="auto"/>
        <w:jc w:val="both"/>
        <w:rPr>
          <w:rFonts w:ascii="Cambria" w:hAnsi="Cambria" w:cs="Arial"/>
          <w:color w:val="1D1B11"/>
        </w:rPr>
      </w:pPr>
    </w:p>
    <w:p w:rsidR="00B93FFE" w:rsidRDefault="0062593E">
      <w:pPr>
        <w:tabs>
          <w:tab w:val="left" w:pos="1701"/>
          <w:tab w:val="left" w:pos="1985"/>
        </w:tabs>
        <w:spacing w:after="200" w:line="360" w:lineRule="auto"/>
        <w:ind w:left="708" w:hanging="708"/>
        <w:jc w:val="both"/>
        <w:rPr>
          <w:rFonts w:ascii="Cambria" w:hAnsi="Cambria" w:cs="Arial"/>
          <w:color w:val="1D1B11"/>
        </w:rPr>
      </w:pPr>
      <w:r>
        <w:rPr>
          <w:rFonts w:ascii="Cambria" w:hAnsi="Cambria" w:cs="Arial"/>
          <w:color w:val="1D1B11"/>
        </w:rPr>
        <w:t xml:space="preserve">Materialien: </w:t>
      </w:r>
      <w:r>
        <w:rPr>
          <w:rFonts w:ascii="Cambria" w:hAnsi="Cambria" w:cs="Arial"/>
          <w:color w:val="1D1B11"/>
        </w:rPr>
        <w:tab/>
      </w:r>
      <w:r>
        <w:rPr>
          <w:rFonts w:ascii="Cambria" w:hAnsi="Cambria" w:cs="Arial"/>
          <w:color w:val="1D1B11"/>
        </w:rPr>
        <w:tab/>
        <w:t xml:space="preserve">kleines Becherglas, </w:t>
      </w:r>
      <w:r>
        <w:rPr>
          <w:rFonts w:ascii="Cambria" w:hAnsi="Cambria" w:cs="Arial"/>
          <w:color w:val="1D1B11"/>
        </w:rPr>
        <w:t>Kältethermometer, Glasstab, Stativ mit Klemme, Pipette</w:t>
      </w:r>
    </w:p>
    <w:p w:rsidR="00B93FFE" w:rsidRDefault="0062593E">
      <w:pPr>
        <w:tabs>
          <w:tab w:val="left" w:pos="1701"/>
          <w:tab w:val="left" w:pos="1985"/>
        </w:tabs>
        <w:spacing w:after="200" w:line="360" w:lineRule="auto"/>
        <w:ind w:left="1980" w:hanging="1980"/>
        <w:jc w:val="both"/>
        <w:rPr>
          <w:rFonts w:ascii="Cambria" w:hAnsi="Cambria" w:cs="Arial"/>
          <w:color w:val="1D1B11"/>
        </w:rPr>
      </w:pPr>
      <w:r>
        <w:rPr>
          <w:rFonts w:ascii="Cambria" w:hAnsi="Cambria" w:cs="Arial"/>
          <w:color w:val="1D1B11"/>
        </w:rPr>
        <w:t>Chemikalien:</w:t>
      </w:r>
      <w:r>
        <w:rPr>
          <w:rFonts w:ascii="Cambria" w:hAnsi="Cambria" w:cs="Arial"/>
          <w:color w:val="1D1B11"/>
        </w:rPr>
        <w:tab/>
      </w:r>
      <w:r>
        <w:rPr>
          <w:rFonts w:ascii="Cambria" w:hAnsi="Cambria" w:cs="Arial"/>
          <w:color w:val="1D1B11"/>
        </w:rPr>
        <w:tab/>
        <w:t xml:space="preserve">Wasser, Ammoniumnitrat, Bariumhydroxid-octahydrat  </w:t>
      </w:r>
    </w:p>
    <w:p w:rsidR="00B93FFE" w:rsidRDefault="0062593E">
      <w:pPr>
        <w:tabs>
          <w:tab w:val="left" w:pos="1701"/>
          <w:tab w:val="left" w:pos="1985"/>
        </w:tabs>
        <w:spacing w:after="200" w:line="360" w:lineRule="auto"/>
        <w:ind w:left="1980" w:hanging="1980"/>
        <w:jc w:val="both"/>
        <w:rPr>
          <w:rFonts w:ascii="Cambria" w:hAnsi="Cambria" w:cs="Arial"/>
          <w:color w:val="1D1B11"/>
        </w:rPr>
      </w:pPr>
      <w:r>
        <w:rPr>
          <w:rFonts w:ascii="Cambria" w:hAnsi="Cambria" w:cs="Arial"/>
          <w:color w:val="1D1B11"/>
        </w:rPr>
        <w:t xml:space="preserve">Durchführung: </w:t>
      </w:r>
      <w:r>
        <w:rPr>
          <w:rFonts w:ascii="Cambria" w:hAnsi="Cambria" w:cs="Arial"/>
          <w:color w:val="1D1B11"/>
        </w:rPr>
        <w:tab/>
      </w:r>
      <w:r>
        <w:rPr>
          <w:rFonts w:ascii="Cambria" w:hAnsi="Cambria" w:cs="Arial"/>
          <w:color w:val="1D1B11"/>
        </w:rPr>
        <w:tab/>
        <w:t>Das Kältethermometer wird in der Stativklemme eingespannt, sodass es sicher im Becherglas steht. Ammoniumthiocyanat wir</w:t>
      </w:r>
      <w:r>
        <w:rPr>
          <w:rFonts w:ascii="Cambria" w:hAnsi="Cambria" w:cs="Arial"/>
          <w:color w:val="1D1B11"/>
        </w:rPr>
        <w:t>d mit einem nicht metallischen Spatel entnommen und in einer sauberen Reibschale zerrieben.   Man   füllt   5   g   davon   in   ein   Becherglas, gibt   15   g Bariumhydroxidoctahydrat hinzu.  Man verrührt die Mischung mit einem Glasstab, gibt etwas Wasse</w:t>
      </w:r>
      <w:r>
        <w:rPr>
          <w:rFonts w:ascii="Cambria" w:hAnsi="Cambria" w:cs="Arial"/>
          <w:color w:val="1D1B11"/>
        </w:rPr>
        <w:t xml:space="preserve">r dazu und misst die Temperatur. </w:t>
      </w:r>
    </w:p>
    <w:p w:rsidR="00B93FFE" w:rsidRDefault="0062593E">
      <w:pPr>
        <w:tabs>
          <w:tab w:val="left" w:pos="1701"/>
          <w:tab w:val="left" w:pos="1985"/>
        </w:tabs>
        <w:spacing w:after="200" w:line="360" w:lineRule="auto"/>
        <w:ind w:left="1980" w:hanging="1980"/>
        <w:jc w:val="both"/>
      </w:pPr>
      <w:r>
        <w:rPr>
          <w:rFonts w:ascii="Cambria" w:hAnsi="Cambria" w:cs="Arial"/>
          <w:color w:val="000000"/>
        </w:rPr>
        <w:t>Beobachtung:</w:t>
      </w:r>
      <w:r>
        <w:rPr>
          <w:rFonts w:ascii="Cambria" w:hAnsi="Cambria" w:cs="Arial"/>
          <w:color w:val="FF0000"/>
        </w:rPr>
        <w:tab/>
        <w:t xml:space="preserve">     </w:t>
      </w:r>
      <w:r>
        <w:rPr>
          <w:rFonts w:ascii="Cambria" w:hAnsi="Cambria" w:cs="Arial"/>
        </w:rPr>
        <w:t xml:space="preserve">Die Lösung kühlt sich stark ab. Es ist ein Geruch nach Ammoniak wahrnehmbar. </w:t>
      </w:r>
    </w:p>
    <w:p w:rsidR="00B93FFE" w:rsidRDefault="0062593E">
      <w:pPr>
        <w:tabs>
          <w:tab w:val="left" w:pos="1701"/>
          <w:tab w:val="left" w:pos="1985"/>
        </w:tabs>
        <w:spacing w:after="200" w:line="360" w:lineRule="auto"/>
        <w:ind w:left="1980" w:hanging="1980"/>
        <w:jc w:val="center"/>
      </w:pPr>
      <w:r>
        <w:rPr>
          <w:rFonts w:ascii="Cambria" w:hAnsi="Cambria" w:cs="Arial"/>
          <w:color w:val="000000"/>
        </w:rPr>
        <w:t xml:space="preserve">       </w:t>
      </w:r>
      <w:r>
        <w:rPr>
          <w:rFonts w:ascii="Cambria" w:hAnsi="Cambria" w:cs="Arial"/>
          <w:noProof/>
          <w:color w:val="000000"/>
          <w:lang w:eastAsia="de-DE"/>
        </w:rPr>
        <w:drawing>
          <wp:inline distT="0" distB="0" distL="0" distR="0">
            <wp:extent cx="789803" cy="2017449"/>
            <wp:effectExtent l="0" t="0" r="0" b="1851"/>
            <wp:docPr id="11" name="Grafik 97" descr="C:\Users\Caro\Desktop\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789803" cy="2017449"/>
                    </a:xfrm>
                    <a:prstGeom prst="rect">
                      <a:avLst/>
                    </a:prstGeom>
                    <a:noFill/>
                    <a:ln>
                      <a:noFill/>
                      <a:prstDash/>
                    </a:ln>
                  </pic:spPr>
                </pic:pic>
              </a:graphicData>
            </a:graphic>
          </wp:inline>
        </w:drawing>
      </w:r>
    </w:p>
    <w:p w:rsidR="00B93FFE" w:rsidRDefault="0062593E">
      <w:pPr>
        <w:spacing w:after="200" w:line="240" w:lineRule="auto"/>
        <w:jc w:val="center"/>
      </w:pPr>
      <w:r>
        <w:rPr>
          <w:rFonts w:ascii="Cambria" w:hAnsi="Cambria" w:cs="Arial"/>
          <w:bCs/>
          <w:color w:val="000000"/>
          <w:sz w:val="18"/>
          <w:szCs w:val="18"/>
        </w:rPr>
        <w:lastRenderedPageBreak/>
        <w:t xml:space="preserve">          Abb. 4 – Selbstgebautes Kühlkissen  </w:t>
      </w:r>
    </w:p>
    <w:p w:rsidR="00B93FFE" w:rsidRDefault="0062593E">
      <w:pPr>
        <w:tabs>
          <w:tab w:val="left" w:pos="1701"/>
          <w:tab w:val="left" w:pos="1985"/>
        </w:tabs>
        <w:spacing w:after="200" w:line="360" w:lineRule="auto"/>
        <w:ind w:left="1980" w:hanging="1980"/>
        <w:jc w:val="both"/>
        <w:rPr>
          <w:rFonts w:ascii="Cambria" w:hAnsi="Cambria" w:cs="Arial"/>
          <w:color w:val="1D1B11"/>
        </w:rPr>
      </w:pPr>
      <w:r>
        <w:rPr>
          <w:rFonts w:ascii="Cambria" w:hAnsi="Cambria" w:cs="Arial"/>
          <w:color w:val="1D1B11"/>
        </w:rPr>
        <w:t xml:space="preserve">Deutung: </w:t>
      </w:r>
      <w:r>
        <w:rPr>
          <w:rFonts w:ascii="Cambria" w:hAnsi="Cambria" w:cs="Arial"/>
          <w:color w:val="1D1B11"/>
        </w:rPr>
        <w:tab/>
      </w:r>
      <w:r>
        <w:rPr>
          <w:rFonts w:ascii="Cambria" w:hAnsi="Cambria" w:cs="Arial"/>
          <w:color w:val="1D1B11"/>
        </w:rPr>
        <w:tab/>
        <w:t>Bei der Reaktion von Ammoniumthiocyanat mit Bariumhydroxid-</w:t>
      </w:r>
      <w:r>
        <w:rPr>
          <w:rFonts w:ascii="Cambria" w:hAnsi="Cambria" w:cs="Arial"/>
          <w:color w:val="1D1B11"/>
        </w:rPr>
        <w:t xml:space="preserve">octahydrat und Wasser wird der Umgebung Energie in Form von Wärme entzogen. Daher kühlt sich die Lösung stark ab. Bei chemischen Reaktionen muss also nicht unbedingt immer Energie freigesetzt werden.  </w:t>
      </w:r>
      <w:r>
        <w:rPr>
          <w:rFonts w:ascii="Cambria" w:hAnsi="Cambria" w:cs="Arial"/>
          <w:color w:val="1D1B11"/>
        </w:rPr>
        <w:tab/>
        <w:t xml:space="preserve"> </w:t>
      </w:r>
    </w:p>
    <w:p w:rsidR="00B93FFE" w:rsidRDefault="0062593E">
      <w:pPr>
        <w:tabs>
          <w:tab w:val="left" w:pos="1701"/>
          <w:tab w:val="left" w:pos="1985"/>
        </w:tabs>
        <w:spacing w:after="200" w:line="360" w:lineRule="auto"/>
        <w:ind w:left="1980" w:hanging="1980"/>
        <w:jc w:val="both"/>
        <w:rPr>
          <w:rFonts w:ascii="Cambria" w:hAnsi="Cambria" w:cs="Arial"/>
          <w:color w:val="1D1B11"/>
        </w:rPr>
      </w:pPr>
      <w:r>
        <w:rPr>
          <w:rFonts w:ascii="Cambria" w:hAnsi="Cambria" w:cs="Arial"/>
          <w:color w:val="1D1B11"/>
        </w:rPr>
        <w:t xml:space="preserve">                                         Ammoniumthi</w:t>
      </w:r>
      <w:r>
        <w:rPr>
          <w:rFonts w:ascii="Cambria" w:hAnsi="Cambria" w:cs="Arial"/>
          <w:color w:val="1D1B11"/>
        </w:rPr>
        <w:t xml:space="preserve">ocyanat + Bariumhydroxidoctahydrat + Wasser </w:t>
      </w:r>
      <w:r>
        <w:rPr>
          <w:rFonts w:ascii="Cambria" w:hAnsi="Cambria" w:cs="Arial"/>
          <w:color w:val="1D1B11"/>
        </w:rPr>
        <w:br/>
      </w:r>
      <w:r>
        <w:rPr>
          <w:rFonts w:ascii="Cambria" w:hAnsi="Cambria" w:cs="Arial"/>
          <w:color w:val="1D1B11"/>
        </w:rPr>
        <w:t xml:space="preserve">-&gt; Bariumthiocyanat + Ammoniak </w:t>
      </w:r>
    </w:p>
    <w:p w:rsidR="00B93FFE" w:rsidRDefault="0062593E">
      <w:pPr>
        <w:tabs>
          <w:tab w:val="left" w:pos="1701"/>
          <w:tab w:val="left" w:pos="1985"/>
        </w:tabs>
        <w:spacing w:after="200" w:line="360" w:lineRule="auto"/>
        <w:ind w:left="1980" w:hanging="1980"/>
        <w:jc w:val="both"/>
      </w:pPr>
      <w:r>
        <w:rPr>
          <w:rFonts w:ascii="Cambria" w:hAnsi="Cambria" w:cs="Arial"/>
          <w:color w:val="1D1B11"/>
        </w:rPr>
        <w:tab/>
      </w:r>
      <w:r>
        <w:rPr>
          <w:rFonts w:ascii="Cambria" w:hAnsi="Cambria" w:cs="Arial"/>
          <w:color w:val="000000"/>
        </w:rPr>
        <w:tab/>
        <w:t xml:space="preserve">Fachliche Auswertung: </w:t>
      </w:r>
    </w:p>
    <w:p w:rsidR="00B93FFE" w:rsidRDefault="0062593E">
      <w:pPr>
        <w:tabs>
          <w:tab w:val="left" w:pos="1701"/>
          <w:tab w:val="left" w:pos="1985"/>
        </w:tabs>
        <w:spacing w:after="200" w:line="360" w:lineRule="auto"/>
        <w:ind w:left="1980" w:hanging="1980"/>
        <w:jc w:val="both"/>
      </w:pPr>
      <w:r>
        <w:rPr>
          <w:rFonts w:ascii="Cambria" w:hAnsi="Cambria" w:cs="Arial"/>
          <w:color w:val="000000"/>
        </w:rPr>
        <w:tab/>
      </w:r>
      <w:r>
        <w:rPr>
          <w:rFonts w:ascii="Cambria" w:hAnsi="Cambria" w:cs="Arial"/>
          <w:color w:val="000000"/>
        </w:rPr>
        <w:tab/>
      </w:r>
      <m:oMath>
        <m:r>
          <m:rPr>
            <m:sty m:val="p"/>
          </m:rPr>
          <w:rPr>
            <w:rFonts w:ascii="Cambria Math" w:hAnsi="Cambria Math"/>
          </w:rPr>
          <m:t>Ba</m:t>
        </m:r>
        <m:sSub>
          <m:sSubPr>
            <m:ctrlPr>
              <w:rPr>
                <w:rFonts w:ascii="Cambria Math" w:hAnsi="Cambria Math"/>
              </w:rPr>
            </m:ctrlPr>
          </m:sSubPr>
          <m:e>
            <m:d>
              <m:dPr>
                <m:ctrlPr>
                  <w:rPr>
                    <w:rFonts w:ascii="Cambria Math" w:hAnsi="Cambria Math"/>
                  </w:rPr>
                </m:ctrlPr>
              </m:dPr>
              <m:e>
                <m:r>
                  <m:rPr>
                    <m:sty m:val="p"/>
                  </m:rPr>
                  <w:rPr>
                    <w:rFonts w:ascii="Cambria Math" w:hAnsi="Cambria Math"/>
                  </w:rPr>
                  <m:t>OH</m:t>
                </m:r>
              </m:e>
            </m:d>
          </m:e>
          <m:sub>
            <m:sSub>
              <m:sSubPr>
                <m:ctrlPr>
                  <w:rPr>
                    <w:rFonts w:ascii="Cambria Math" w:hAnsi="Cambria Math"/>
                  </w:rPr>
                </m:ctrlPr>
              </m:sSubPr>
              <m:e>
                <m:r>
                  <w:rPr>
                    <w:rFonts w:ascii="Cambria Math" w:hAnsi="Cambria Math"/>
                  </w:rPr>
                  <m:t>2</m:t>
                </m:r>
              </m:e>
              <m:sub>
                <m:d>
                  <m:dPr>
                    <m:ctrlPr>
                      <w:rPr>
                        <w:rFonts w:ascii="Cambria Math" w:hAnsi="Cambria Math"/>
                      </w:rPr>
                    </m:ctrlPr>
                  </m:dPr>
                  <m:e>
                    <m:r>
                      <m:rPr>
                        <m:sty m:val="p"/>
                      </m:rPr>
                      <w:rPr>
                        <w:rFonts w:ascii="Cambria Math" w:hAnsi="Cambria Math"/>
                      </w:rPr>
                      <m:t>s</m:t>
                    </m:r>
                  </m:e>
                </m:d>
              </m:sub>
            </m:sSub>
          </m:sub>
        </m:sSub>
        <m:r>
          <m:rPr>
            <m:sty m:val="p"/>
          </m:rPr>
          <w:rPr>
            <w:rFonts w:ascii="Cambria Math" w:hAnsi="Cambria Math"/>
          </w:rPr>
          <m:t>*</m:t>
        </m:r>
        <m:r>
          <m:rPr>
            <m:sty m:val="p"/>
          </m:rPr>
          <w:rPr>
            <w:rFonts w:ascii="Cambria Math" w:hAnsi="Cambria Math"/>
          </w:rPr>
          <m:t xml:space="preserve"> </m:t>
        </m:r>
        <m:r>
          <w:rPr>
            <w:rFonts w:ascii="Cambria Math" w:hAnsi="Cambria Math"/>
          </w:rPr>
          <m:t>8</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sSub>
          <m:sSubPr>
            <m:ctrlPr>
              <w:rPr>
                <w:rFonts w:ascii="Cambria Math" w:hAnsi="Cambria Math"/>
              </w:rPr>
            </m:ctrlPr>
          </m:sSubPr>
          <m:e>
            <m:r>
              <m:rPr>
                <m:sty m:val="p"/>
              </m:rPr>
              <w:rPr>
                <w:rFonts w:ascii="Cambria Math" w:hAnsi="Cambria Math"/>
              </w:rPr>
              <m:t>H</m:t>
            </m:r>
          </m:e>
          <m:sub>
            <m: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s</m:t>
                </m:r>
              </m:e>
            </m:d>
          </m:sub>
        </m:sSub>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2</m:t>
        </m:r>
        <m:r>
          <m:rPr>
            <m:sty m:val="p"/>
          </m:rPr>
          <w:rPr>
            <w:rFonts w:ascii="Cambria Math" w:hAnsi="Cambria Math"/>
          </w:rPr>
          <m:t xml:space="preserve"> N</m:t>
        </m:r>
        <m:sSub>
          <m:sSubPr>
            <m:ctrlPr>
              <w:rPr>
                <w:rFonts w:ascii="Cambria Math" w:hAnsi="Cambria Math"/>
              </w:rPr>
            </m:ctrlPr>
          </m:sSubPr>
          <m:e>
            <m:r>
              <m:rPr>
                <m:sty m:val="p"/>
              </m:rPr>
              <w:rPr>
                <w:rFonts w:ascii="Cambria Math" w:hAnsi="Cambria Math"/>
              </w:rPr>
              <m:t>H</m:t>
            </m:r>
          </m:e>
          <m:sub>
            <m:r>
              <w:rPr>
                <w:rFonts w:ascii="Cambria Math" w:hAnsi="Cambria Math"/>
              </w:rPr>
              <m:t>4</m:t>
            </m:r>
          </m:sub>
        </m:sSub>
        <m:r>
          <m:rPr>
            <m:sty m:val="p"/>
          </m:rPr>
          <w:rPr>
            <w:rFonts w:ascii="Cambria Math" w:hAnsi="Cambria Math"/>
          </w:rPr>
          <m:t>SC</m:t>
        </m:r>
        <m:sSub>
          <m:sSubPr>
            <m:ctrlPr>
              <w:rPr>
                <w:rFonts w:ascii="Cambria Math" w:hAnsi="Cambria Math"/>
              </w:rPr>
            </m:ctrlPr>
          </m:sSubPr>
          <m:e>
            <m:r>
              <m:rPr>
                <m:sty m:val="p"/>
              </m:rPr>
              <w:rPr>
                <w:rFonts w:ascii="Cambria Math" w:hAnsi="Cambria Math"/>
              </w:rPr>
              <m:t>N</m:t>
            </m:r>
          </m:e>
          <m:sub>
            <m:d>
              <m:dPr>
                <m:ctrlPr>
                  <w:rPr>
                    <w:rFonts w:ascii="Cambria Math" w:hAnsi="Cambria Math"/>
                  </w:rPr>
                </m:ctrlPr>
              </m:dPr>
              <m:e>
                <m:r>
                  <m:rPr>
                    <m:sty m:val="p"/>
                  </m:rPr>
                  <w:rPr>
                    <w:rFonts w:ascii="Cambria Math" w:hAnsi="Cambria Math"/>
                  </w:rPr>
                  <m:t>s</m:t>
                </m:r>
              </m:e>
            </m:d>
          </m:sub>
        </m:sSub>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acc>
          <m:accPr>
            <m:chr m:val="⃗"/>
            <m:ctrlPr>
              <w:rPr>
                <w:rFonts w:ascii="Cambria Math" w:hAnsi="Cambria Math"/>
              </w:rPr>
            </m:ctrlPr>
          </m:accPr>
          <m:e>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m:t>
            </m:r>
            <m:r>
              <m:rPr>
                <m:sty m:val="p"/>
              </m:rPr>
              <w:rPr>
                <w:rFonts w:ascii="Cambria Math" w:hAnsi="Cambria Math"/>
              </w:rPr>
              <m:t xml:space="preserve">E   </m:t>
            </m:r>
          </m:e>
        </m:acc>
        <m:r>
          <m:rPr>
            <m:sty m:val="p"/>
          </m:rPr>
          <w:rPr>
            <w:rFonts w:ascii="Cambria Math" w:hAnsi="Cambria Math"/>
          </w:rPr>
          <m:t xml:space="preserve">  B</m:t>
        </m:r>
        <m:sSubSup>
          <m:sSubSupPr>
            <m:ctrlPr>
              <w:rPr>
                <w:rFonts w:ascii="Cambria Math" w:hAnsi="Cambria Math"/>
              </w:rPr>
            </m:ctrlPr>
          </m:sSubSupPr>
          <m:e>
            <m:r>
              <m:rPr>
                <m:sty m:val="p"/>
              </m:rPr>
              <w:rPr>
                <w:rFonts w:ascii="Cambria Math" w:hAnsi="Cambria Math"/>
              </w:rPr>
              <m:t>a</m:t>
            </m:r>
          </m:e>
          <m:sub>
            <m:d>
              <m:dPr>
                <m:ctrlPr>
                  <w:rPr>
                    <w:rFonts w:ascii="Cambria Math" w:hAnsi="Cambria Math"/>
                  </w:rPr>
                </m:ctrlPr>
              </m:dPr>
              <m:e>
                <m:r>
                  <m:rPr>
                    <m:sty m:val="p"/>
                  </m:rPr>
                  <w:rPr>
                    <w:rFonts w:ascii="Cambria Math" w:hAnsi="Cambria Math"/>
                  </w:rPr>
                  <m:t>aq</m:t>
                </m:r>
              </m:e>
            </m:d>
          </m:sub>
          <m:sup>
            <m:r>
              <w:rPr>
                <w:rFonts w:ascii="Cambria Math" w:hAnsi="Cambria Math"/>
              </w:rPr>
              <m:t>2+</m:t>
            </m:r>
          </m:sup>
        </m:sSubSup>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2</m:t>
        </m:r>
        <m:r>
          <m:rPr>
            <m:sty m:val="p"/>
          </m:rPr>
          <w:rPr>
            <w:rFonts w:ascii="Cambria Math" w:hAnsi="Cambria Math"/>
          </w:rPr>
          <m:t xml:space="preserve"> SC</m:t>
        </m:r>
        <m:sSubSup>
          <m:sSubSupPr>
            <m:ctrlPr>
              <w:rPr>
                <w:rFonts w:ascii="Cambria Math" w:hAnsi="Cambria Math"/>
              </w:rPr>
            </m:ctrlPr>
          </m:sSubSupPr>
          <m:e>
            <m:r>
              <m:rPr>
                <m:sty m:val="p"/>
              </m:rPr>
              <w:rPr>
                <w:rFonts w:ascii="Cambria Math" w:hAnsi="Cambria Math"/>
              </w:rPr>
              <m:t>N</m:t>
            </m:r>
          </m:e>
          <m:sub>
            <m:d>
              <m:dPr>
                <m:ctrlPr>
                  <w:rPr>
                    <w:rFonts w:ascii="Cambria Math" w:hAnsi="Cambria Math"/>
                  </w:rPr>
                </m:ctrlPr>
              </m:dPr>
              <m:e>
                <m:r>
                  <m:rPr>
                    <m:sty m:val="p"/>
                  </m:rPr>
                  <w:rPr>
                    <w:rFonts w:ascii="Cambria Math" w:hAnsi="Cambria Math"/>
                  </w:rPr>
                  <m:t>aq</m:t>
                </m:r>
              </m:e>
            </m:d>
          </m:sub>
          <m:sup>
            <m:r>
              <w:rPr>
                <w:rFonts w:ascii="Cambria Math" w:hAnsi="Cambria Math"/>
              </w:rPr>
              <m:t>-</m:t>
            </m:r>
          </m:sup>
        </m:sSubSup>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2</m:t>
        </m:r>
        <m:r>
          <m:rPr>
            <m:sty m:val="p"/>
          </m:rPr>
          <w:rPr>
            <w:rFonts w:ascii="Cambria Math" w:hAnsi="Cambria Math"/>
          </w:rPr>
          <m:t xml:space="preserve"> N</m:t>
        </m:r>
        <m:sSub>
          <m:sSubPr>
            <m:ctrlPr>
              <w:rPr>
                <w:rFonts w:ascii="Cambria Math" w:hAnsi="Cambria Math"/>
              </w:rPr>
            </m:ctrlPr>
          </m:sSubPr>
          <m:e>
            <m:r>
              <m:rPr>
                <m:sty m:val="p"/>
              </m:rPr>
              <w:rPr>
                <w:rFonts w:ascii="Cambria Math" w:hAnsi="Cambria Math"/>
              </w:rPr>
              <m:t>H</m:t>
            </m:r>
          </m:e>
          <m:sub>
            <m:sSub>
              <m:sSubPr>
                <m:ctrlPr>
                  <w:rPr>
                    <w:rFonts w:ascii="Cambria Math" w:hAnsi="Cambria Math"/>
                  </w:rPr>
                </m:ctrlPr>
              </m:sSubPr>
              <m:e>
                <m:r>
                  <w:rPr>
                    <w:rFonts w:ascii="Cambria Math" w:hAnsi="Cambria Math"/>
                  </w:rPr>
                  <m:t>3</m:t>
                </m:r>
              </m:e>
              <m:sub>
                <m:d>
                  <m:dPr>
                    <m:ctrlPr>
                      <w:rPr>
                        <w:rFonts w:ascii="Cambria Math" w:hAnsi="Cambria Math"/>
                      </w:rPr>
                    </m:ctrlPr>
                  </m:dPr>
                  <m:e>
                    <m:r>
                      <m:rPr>
                        <m:sty m:val="p"/>
                      </m:rPr>
                      <w:rPr>
                        <w:rFonts w:ascii="Cambria Math" w:hAnsi="Cambria Math"/>
                      </w:rPr>
                      <m:t>g</m:t>
                    </m:r>
                  </m:e>
                </m:d>
              </m:sub>
            </m:sSub>
          </m:sub>
        </m:sSub>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w:rPr>
            <w:rFonts w:ascii="Cambria Math" w:hAnsi="Cambria Math"/>
          </w:rPr>
          <m:t>10</m:t>
        </m:r>
        <m:r>
          <m:rPr>
            <m:sty m:val="p"/>
          </m:rPr>
          <w:rPr>
            <w:rFonts w:ascii="Cambria Math" w:hAnsi="Cambria Math"/>
          </w:rPr>
          <m:t xml:space="preserve"> </m:t>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r>
          <m:rPr>
            <m:sty m:val="p"/>
          </m:rPr>
          <w:rPr>
            <w:rFonts w:ascii="Cambria Math" w:hAnsi="Cambria Math"/>
          </w:rPr>
          <w:tab/>
        </m:r>
        <m:sSub>
          <m:sSubPr>
            <m:ctrlPr>
              <w:rPr>
                <w:rFonts w:ascii="Cambria Math" w:hAnsi="Cambria Math"/>
              </w:rPr>
            </m:ctrlPr>
          </m:sSubPr>
          <m:e>
            <m:r>
              <m:rPr>
                <m:sty m:val="p"/>
              </m:rPr>
              <w:rPr>
                <w:rFonts w:ascii="Cambria Math" w:hAnsi="Cambria Math"/>
              </w:rPr>
              <m:t>H</m:t>
            </m:r>
          </m:e>
          <m:sub>
            <m: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l</m:t>
                </m:r>
              </m:e>
            </m:d>
          </m:sub>
        </m:sSub>
      </m:oMath>
    </w:p>
    <w:p w:rsidR="00B93FFE" w:rsidRDefault="0062593E">
      <w:pPr>
        <w:spacing w:after="200" w:line="360" w:lineRule="auto"/>
        <w:ind w:left="1950"/>
        <w:jc w:val="both"/>
        <w:rPr>
          <w:rFonts w:ascii="Cambria" w:hAnsi="Cambria" w:cs="Arial"/>
          <w:color w:val="1D1B11"/>
        </w:rPr>
      </w:pPr>
      <w:r>
        <w:rPr>
          <w:rFonts w:ascii="Cambria" w:hAnsi="Cambria" w:cs="Arial"/>
          <w:color w:val="1D1B11"/>
        </w:rPr>
        <w:t>Triebkraft dieser Reaktion ist die große Entropiezunahme aufgrund der Entstehung des gasförmigen Ammoniaks und des freigesetzten Kristallwassers. Bei e</w:t>
      </w:r>
      <w:r>
        <w:rPr>
          <w:rFonts w:ascii="Cambria" w:hAnsi="Cambria" w:cs="Arial"/>
          <w:color w:val="1D1B11"/>
        </w:rPr>
        <w:t xml:space="preserve">ndothermen Reaktionen ist die freie Enthalpie ∆H &gt; 0. Die Gibbs-Helmholtz-Gleichung zeigt die Zusammenhänge zwischen Gibbsenergie, freier Enthalpie, Entropie und Temperaturänderung: </w:t>
      </w:r>
    </w:p>
    <w:p w:rsidR="00B93FFE" w:rsidRDefault="0062593E">
      <w:pPr>
        <w:spacing w:after="200" w:line="360" w:lineRule="auto"/>
        <w:ind w:left="1950"/>
        <w:jc w:val="both"/>
        <w:rPr>
          <w:rFonts w:ascii="Cambria" w:hAnsi="Cambria" w:cs="Arial"/>
          <w:color w:val="1D1B11"/>
        </w:rPr>
      </w:pPr>
      <w:r>
        <w:rPr>
          <w:rFonts w:ascii="Cambria" w:hAnsi="Cambria" w:cs="Arial"/>
          <w:color w:val="1D1B11"/>
        </w:rPr>
        <w:tab/>
      </w:r>
      <w:r>
        <w:rPr>
          <w:rFonts w:ascii="Cambria" w:hAnsi="Cambria" w:cs="Arial"/>
          <w:color w:val="1D1B11"/>
        </w:rPr>
        <w:tab/>
        <w:t>∆G=∆H-T∙∆S,</w:t>
      </w:r>
    </w:p>
    <w:p w:rsidR="00B93FFE" w:rsidRDefault="0062593E">
      <w:pPr>
        <w:spacing w:after="200" w:line="360" w:lineRule="auto"/>
        <w:ind w:left="1950"/>
        <w:jc w:val="both"/>
        <w:rPr>
          <w:rFonts w:ascii="Cambria" w:hAnsi="Cambria" w:cs="Arial"/>
          <w:color w:val="1D1B11"/>
        </w:rPr>
      </w:pPr>
      <w:r>
        <w:rPr>
          <w:rFonts w:ascii="Cambria" w:hAnsi="Cambria" w:cs="Arial"/>
          <w:color w:val="1D1B11"/>
        </w:rPr>
        <w:t>Reaktionen laufen freiwillig ab, wenn ∆G&lt;0. Diese Reaktione</w:t>
      </w:r>
      <w:r>
        <w:rPr>
          <w:rFonts w:ascii="Cambria" w:hAnsi="Cambria" w:cs="Arial"/>
          <w:color w:val="1D1B11"/>
        </w:rPr>
        <w:t>n werden als exergon bezeichnet. Da die Reaktion freiwillig abläuft, muss das Produkt aus Temperatur und Entropieänderung größer sein als die Enthalpieänderung. Die Entropie muss hierbei einen großen Einfluss auf den freiwilligen Ablauf der chemischen Reak</w:t>
      </w:r>
      <w:r>
        <w:rPr>
          <w:rFonts w:ascii="Cambria" w:hAnsi="Cambria" w:cs="Arial"/>
          <w:color w:val="1D1B11"/>
        </w:rPr>
        <w:t>tion haben.  Die Entropiezunahme kann dadurch erklärt werden, dass aus drei großen Teilchen 15 Teilchen entstehen. Das Bestreben eines Systems nach einer höheren Unordnung (Entropiezunahme) treibt diese Reaktion an.</w:t>
      </w:r>
    </w:p>
    <w:p w:rsidR="00B93FFE" w:rsidRDefault="0062593E">
      <w:pPr>
        <w:spacing w:after="200" w:line="360" w:lineRule="auto"/>
        <w:rPr>
          <w:rFonts w:ascii="Cambria" w:hAnsi="Cambria" w:cs="Arial"/>
          <w:color w:val="1D1B11"/>
        </w:rPr>
      </w:pPr>
      <w:r>
        <w:rPr>
          <w:rFonts w:ascii="Cambria" w:hAnsi="Cambria" w:cs="Arial"/>
          <w:color w:val="1D1B11"/>
        </w:rPr>
        <w:lastRenderedPageBreak/>
        <w:t>Entsorgung:</w:t>
      </w:r>
      <w:r>
        <w:rPr>
          <w:rFonts w:ascii="Cambria" w:hAnsi="Cambria" w:cs="Arial"/>
          <w:color w:val="1D1B11"/>
        </w:rPr>
        <w:tab/>
        <w:t xml:space="preserve">            Die Lösung wird </w:t>
      </w:r>
      <w:r>
        <w:rPr>
          <w:rFonts w:ascii="Cambria" w:hAnsi="Cambria" w:cs="Arial"/>
          <w:color w:val="1D1B11"/>
        </w:rPr>
        <w:t xml:space="preserve">in den Schwermetallbehälter gegeben. </w:t>
      </w:r>
    </w:p>
    <w:p w:rsidR="00B93FFE" w:rsidRDefault="0062593E">
      <w:pPr>
        <w:spacing w:after="200" w:line="360" w:lineRule="auto"/>
      </w:pPr>
      <w:r>
        <w:rPr>
          <w:rFonts w:ascii="Cambria" w:hAnsi="Cambria" w:cs="Arial"/>
          <w:color w:val="1D1B11"/>
        </w:rPr>
        <w:t>Literatur:</w:t>
      </w:r>
      <w:r>
        <w:rPr>
          <w:rFonts w:ascii="Cambria" w:hAnsi="Cambria" w:cs="Arial"/>
          <w:color w:val="1D1B11"/>
        </w:rPr>
        <w:tab/>
        <w:t xml:space="preserve">           </w:t>
      </w:r>
    </w:p>
    <w:p w:rsidR="00B93FFE" w:rsidRDefault="0062593E">
      <w:pPr>
        <w:spacing w:after="200" w:line="360" w:lineRule="auto"/>
        <w:jc w:val="both"/>
        <w:rPr>
          <w:rFonts w:ascii="Cambria" w:hAnsi="Cambria" w:cs="Arial"/>
          <w:color w:val="1D1B11"/>
        </w:rPr>
      </w:pPr>
      <w:r>
        <w:rPr>
          <w:rFonts w:ascii="Cambria" w:hAnsi="Cambria" w:cs="Arial"/>
          <w:color w:val="1D1B11"/>
        </w:rPr>
        <w:t xml:space="preserve">Institut für anorganische Chemie der Universität Wien, Anleitung für chemische Schulversuche aus allgemeiner und anorganischer Chemie., </w:t>
      </w:r>
      <w:r>
        <w:rPr>
          <w:rFonts w:ascii="Cambria" w:hAnsi="Cambria" w:cs="Arial"/>
          <w:color w:val="1D1B11"/>
        </w:rPr>
        <w:t>https://fdchemie.univie.ac.at/fileadmin/user_upload/fd_zentrum_chemie/Arbeitsanleitungen_Schulversuche_AC/Woche4.pdf, 28.07.2016 (Zuletzt abgerufen am 28.07.2016 um 07:22 Uhr).</w:t>
      </w:r>
    </w:p>
    <w:p w:rsidR="00B93FFE" w:rsidRDefault="0062593E">
      <w:pPr>
        <w:spacing w:after="200" w:line="360" w:lineRule="auto"/>
        <w:jc w:val="both"/>
      </w:pPr>
      <w:r>
        <w:rPr>
          <w:noProof/>
          <w:lang w:eastAsia="de-DE"/>
        </w:rPr>
        <mc:AlternateContent>
          <mc:Choice Requires="wps">
            <w:drawing>
              <wp:inline distT="0" distB="0" distL="0" distR="0">
                <wp:extent cx="5760720" cy="1533521"/>
                <wp:effectExtent l="0" t="0" r="11430" b="9529"/>
                <wp:docPr id="12" name="Text Box 131"/>
                <wp:cNvGraphicFramePr/>
                <a:graphic xmlns:a="http://schemas.openxmlformats.org/drawingml/2006/main">
                  <a:graphicData uri="http://schemas.microsoft.com/office/word/2010/wordprocessingShape">
                    <wps:wsp>
                      <wps:cNvSpPr txBox="1"/>
                      <wps:spPr>
                        <a:xfrm>
                          <a:off x="0" y="0"/>
                          <a:ext cx="5760720" cy="1533521"/>
                        </a:xfrm>
                        <a:prstGeom prst="rect">
                          <a:avLst/>
                        </a:prstGeom>
                        <a:solidFill>
                          <a:srgbClr val="FFFFFF"/>
                        </a:solidFill>
                        <a:ln w="12701">
                          <a:solidFill>
                            <a:srgbClr val="C0504D"/>
                          </a:solidFill>
                          <a:prstDash val="dash"/>
                        </a:ln>
                      </wps:spPr>
                      <wps:txbx>
                        <w:txbxContent>
                          <w:p w:rsidR="00B93FFE" w:rsidRDefault="0062593E">
                            <w:pPr>
                              <w:spacing w:line="360" w:lineRule="auto"/>
                              <w:jc w:val="both"/>
                              <w:rPr>
                                <w:rFonts w:ascii="Cambria" w:hAnsi="Cambria"/>
                              </w:rPr>
                            </w:pPr>
                            <w:r>
                              <w:rPr>
                                <w:rFonts w:ascii="Cambria" w:hAnsi="Cambria"/>
                              </w:rPr>
                              <w:t xml:space="preserve">Der Versuch bietet sich als Überleitung zu endothermen und exothermen </w:t>
                            </w:r>
                            <w:r>
                              <w:rPr>
                                <w:rFonts w:ascii="Cambria" w:hAnsi="Cambria"/>
                              </w:rPr>
                              <w:t>Reaktionen an.  Als Beispiel für eine exotherme Reaktion bietet sich das Verreiben von Zink und Kupferchlorid zu gleichen Teilen in einer Reibeschale an. Die Energiediagramme exotherme und endothermer Reaktionen können im weiteren Unterrichtsverlauf bespro</w:t>
                            </w:r>
                            <w:r>
                              <w:rPr>
                                <w:rFonts w:ascii="Cambria" w:hAnsi="Cambria"/>
                              </w:rPr>
                              <w:t>chen werden und auf den Begriff der Aktivierungsenergie eingegangen werden. Durch dieses Experiment kann das Phänomen der Gefrierpunktserniedrigung demonstriert werden.</w:t>
                            </w:r>
                          </w:p>
                        </w:txbxContent>
                      </wps:txbx>
                      <wps:bodyPr vert="horz" wrap="square" lIns="91440" tIns="45720" rIns="91440" bIns="45720" anchor="t" anchorCtr="0" compatLnSpc="0">
                        <a:noAutofit/>
                      </wps:bodyPr>
                    </wps:wsp>
                  </a:graphicData>
                </a:graphic>
              </wp:inline>
            </w:drawing>
          </mc:Choice>
          <mc:Fallback>
            <w:pict>
              <v:shape id="Text Box 131" o:spid="_x0000_s1027" type="#_x0000_t202" style="width:453.6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jgjAAIAAAMEAAAOAAAAZHJzL2Uyb0RvYy54bWysU9uO2yAQfa/Uf0C8N74k2bRWnFWbKFWl&#10;VbdSth+AMcRI3Aokdvr1HXCSzbb7tKofMHCGw5kzw/J+UBIdmfPC6BoXkxwjpqlphd7X+OfT9sNH&#10;jHwguiXSaFbjE/P4fvX+3bK3FStNZ2TLHAIS7ave1rgLwVZZ5mnHFPETY5kGkBunSICl22etIz2w&#10;K5mVeX6X9ca11hnKvIfdzQjiVeLnnNHwyLlnAckag7aQRpfGJo7ZakmqvSO2E/Qsg7xBhSJCw6VX&#10;qg0JBB2c+IdKCeqMNzxMqFGZ4VxQlnKAbIr8r2x2HbEs5QLmeHu1yf8/Wvr9+MMh0ULtSow0UVCj&#10;JzYE9MUMqJgW0aDe+gridhYiwwAABF/2PWzGvAfuVPxDRghwsPp0tTfSUdicL+7yRQkQBayYT6fz&#10;MvFkz8et8+ErMwrFSY0d1C/ZSo4PPoAUCL2ExNu8kaLdCinTwu2btXToSKDW2/RFlXDkRZjUqI/Z&#10;LvIiUb8A/S3HOp/ns81rHFHDhvhuvKuF2TlKargw+jX6EmdhaIbR4ItnjWlPYCW8GkixM+43Rj10&#10;YI39rwNxDCP5TUOJPxWzWWzZtJjNk3PuFmluEaIpUNU4YDRO12Fsc+gzS8KD3lkaKxKd0ubzIRgu&#10;kqNR46joLB06Lbl2fhWxlW/XKer57a7+AAAA//8DAFBLAwQUAAYACAAAACEA1k0Oo9sAAAAFAQAA&#10;DwAAAGRycy9kb3ducmV2LnhtbEyPT0vEMBDF74LfIYzgzU1b1n+16SKCiLe1Kri32WZsis2kJGm3&#10;fnujl/Uy8HiP935TbRY7iJl86B0ryFcZCOLW6Z47BW+vjxc3IEJE1jg4JgXfFGBTn55UWGp34Bea&#10;m9iJVMKhRAUmxrGUMrSGLIaVG4mT9+m8xZik76T2eEjldpBFll1Jiz2nBYMjPRhqv5rJKmi63YfB&#10;rW/fn9ZTPodxN279s1LnZ8v9HYhISzyG4Rc/oUOdmPZuYh3EoCA9Ev9u8m6z6wLEXkGxzi9B1pX8&#10;T1//AAAA//8DAFBLAQItABQABgAIAAAAIQC2gziS/gAAAOEBAAATAAAAAAAAAAAAAAAAAAAAAABb&#10;Q29udGVudF9UeXBlc10ueG1sUEsBAi0AFAAGAAgAAAAhADj9If/WAAAAlAEAAAsAAAAAAAAAAAAA&#10;AAAALwEAAF9yZWxzLy5yZWxzUEsBAi0AFAAGAAgAAAAhAKPqOCMAAgAAAwQAAA4AAAAAAAAAAAAA&#10;AAAALgIAAGRycy9lMm9Eb2MueG1sUEsBAi0AFAAGAAgAAAAhANZNDqPbAAAABQEAAA8AAAAAAAAA&#10;AAAAAAAAWgQAAGRycy9kb3ducmV2LnhtbFBLBQYAAAAABAAEAPMAAABiBQAAAAA=&#10;" strokecolor="#c0504d" strokeweight=".35281mm">
                <v:stroke dashstyle="dash"/>
                <v:textbox>
                  <w:txbxContent>
                    <w:p w:rsidR="00B93FFE" w:rsidRDefault="0062593E">
                      <w:pPr>
                        <w:spacing w:line="360" w:lineRule="auto"/>
                        <w:jc w:val="both"/>
                        <w:rPr>
                          <w:rFonts w:ascii="Cambria" w:hAnsi="Cambria"/>
                        </w:rPr>
                      </w:pPr>
                      <w:r>
                        <w:rPr>
                          <w:rFonts w:ascii="Cambria" w:hAnsi="Cambria"/>
                        </w:rPr>
                        <w:t xml:space="preserve">Der Versuch bietet sich als Überleitung zu endothermen und exothermen </w:t>
                      </w:r>
                      <w:r>
                        <w:rPr>
                          <w:rFonts w:ascii="Cambria" w:hAnsi="Cambria"/>
                        </w:rPr>
                        <w:t>Reaktionen an.  Als Beispiel für eine exotherme Reaktion bietet sich das Verreiben von Zink und Kupferchlorid zu gleichen Teilen in einer Reibeschale an. Die Energiediagramme exotherme und endothermer Reaktionen können im weiteren Unterrichtsverlauf bespro</w:t>
                      </w:r>
                      <w:r>
                        <w:rPr>
                          <w:rFonts w:ascii="Cambria" w:hAnsi="Cambria"/>
                        </w:rPr>
                        <w:t>chen werden und auf den Begriff der Aktivierungsenergie eingegangen werden. Durch dieses Experiment kann das Phänomen der Gefrierpunktserniedrigung demonstriert werden.</w:t>
                      </w:r>
                    </w:p>
                  </w:txbxContent>
                </v:textbox>
                <w10:anchorlock/>
              </v:shape>
            </w:pict>
          </mc:Fallback>
        </mc:AlternateContent>
      </w:r>
    </w:p>
    <w:p w:rsidR="00B93FFE" w:rsidRDefault="00B93FFE"/>
    <w:sectPr w:rsidR="00B93FFE">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93E" w:rsidRDefault="0062593E">
      <w:pPr>
        <w:spacing w:after="0" w:line="240" w:lineRule="auto"/>
      </w:pPr>
      <w:r>
        <w:separator/>
      </w:r>
    </w:p>
  </w:endnote>
  <w:endnote w:type="continuationSeparator" w:id="0">
    <w:p w:rsidR="0062593E" w:rsidRDefault="00625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93E" w:rsidRDefault="0062593E">
      <w:pPr>
        <w:spacing w:after="0" w:line="240" w:lineRule="auto"/>
      </w:pPr>
      <w:r>
        <w:rPr>
          <w:color w:val="000000"/>
        </w:rPr>
        <w:separator/>
      </w:r>
    </w:p>
  </w:footnote>
  <w:footnote w:type="continuationSeparator" w:id="0">
    <w:p w:rsidR="0062593E" w:rsidRDefault="006259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B93FFE"/>
    <w:rsid w:val="0062593E"/>
    <w:rsid w:val="00B93FFE"/>
    <w:rsid w:val="00F82D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4EE5F-8A28-4F92-A383-690B15FE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2625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dc:description/>
  <cp:lastModifiedBy>Caro</cp:lastModifiedBy>
  <cp:revision>2</cp:revision>
  <dcterms:created xsi:type="dcterms:W3CDTF">2016-08-12T11:14:00Z</dcterms:created>
  <dcterms:modified xsi:type="dcterms:W3CDTF">2016-08-12T11:14:00Z</dcterms:modified>
</cp:coreProperties>
</file>