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444" w:rsidRDefault="000258F2">
      <w:pPr>
        <w:keepNext/>
        <w:keepLines/>
        <w:spacing w:before="200" w:after="200" w:line="360" w:lineRule="auto"/>
        <w:ind w:left="576" w:hanging="576"/>
        <w:jc w:val="both"/>
      </w:pPr>
      <w:bookmarkStart w:id="0" w:name="_Toc457454877"/>
      <w:bookmarkStart w:id="1" w:name="_GoBack"/>
      <w:bookmarkEnd w:id="1"/>
      <w:r>
        <w:rPr>
          <w:rFonts w:ascii="Cambria" w:eastAsia="MS Gothic" w:hAnsi="Cambria"/>
          <w:b/>
          <w:bCs/>
          <w:noProof/>
          <w:color w:val="1D1B11"/>
          <w:szCs w:val="26"/>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391792</wp:posOffset>
                </wp:positionV>
                <wp:extent cx="5873118" cy="1276346"/>
                <wp:effectExtent l="0" t="0" r="13332" b="19054"/>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1276346"/>
                        </a:xfrm>
                        <a:prstGeom prst="rect">
                          <a:avLst/>
                        </a:prstGeom>
                        <a:solidFill>
                          <a:srgbClr val="FFFFFF"/>
                        </a:solidFill>
                        <a:ln w="12701">
                          <a:solidFill>
                            <a:srgbClr val="4BACC6"/>
                          </a:solidFill>
                          <a:prstDash val="dash"/>
                        </a:ln>
                      </wps:spPr>
                      <wps:txbx>
                        <w:txbxContent>
                          <w:p w:rsidR="00816444" w:rsidRDefault="000258F2">
                            <w:pPr>
                              <w:spacing w:line="360" w:lineRule="auto"/>
                              <w:jc w:val="both"/>
                              <w:rPr>
                                <w:rFonts w:ascii="Cambria" w:hAnsi="Cambria"/>
                              </w:rPr>
                            </w:pPr>
                            <w:r>
                              <w:rPr>
                                <w:rFonts w:ascii="Cambria" w:hAnsi="Cambria"/>
                              </w:rPr>
                              <w:t>Brausetabletten finden sich in jedem Supermarktregal und sind besonders bei Kindern beliebt. Die Firma Frigeo wirbt mit dem Spruch „Mach was Prickelndes!“. Im Versuch entdecken die</w:t>
                            </w:r>
                            <w:r>
                              <w:rPr>
                                <w:rFonts w:ascii="Cambria" w:hAnsi="Cambria"/>
                              </w:rPr>
                              <w:t xml:space="preserve"> SuS, dass bei einer chemischen Reaktion auch gasförmige Produkte entstehen können. Das in der Reaktion entstehende Kohlenstoffdioxid verursacht das Prickeln im Mund. Der Versuch eignet sich zudem, um Barytwasser als Nachweis für Kohlenstoffdioxid einzufüh</w:t>
                            </w:r>
                            <w:r>
                              <w:rPr>
                                <w:rFonts w:ascii="Cambria" w:hAnsi="Cambria"/>
                              </w:rPr>
                              <w:t xml:space="preserve">ren.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margin-top:30.85pt;width:462.45pt;height:100.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" strokecolor="#4bacc6" strokeweight=".35281mm">
                <v:stroke dashstyle="dash"/>
                <v:textbox>
                  <w:txbxContent>
                    <w:p w:rsidR="00816444" w:rsidRDefault="000258F2">
                      <w:pPr>
                        <w:spacing w:line="360" w:lineRule="auto"/>
                        <w:jc w:val="both"/>
                        <w:rPr>
                          <w:rFonts w:ascii="Cambria" w:hAnsi="Cambria"/>
                        </w:rPr>
                      </w:pPr>
                      <w:r>
                        <w:rPr>
                          <w:rFonts w:ascii="Cambria" w:hAnsi="Cambria"/>
                        </w:rPr>
                        <w:t>Brausetabletten finden sich in jedem Supermarktregal und sind besonders bei Kindern beliebt. Die Firma Frigeo wirbt mit dem Spruch „Mach was Prickelndes!“. Im Versuch entdecken die</w:t>
                      </w:r>
                      <w:r>
                        <w:rPr>
                          <w:rFonts w:ascii="Cambria" w:hAnsi="Cambria"/>
                        </w:rPr>
                        <w:t xml:space="preserve"> SuS, dass bei einer chemischen Reaktion auch gasförmige Produkte entstehen können. Das in der Reaktion entstehende Kohlenstoffdioxid verursacht das Prickeln im Mund. Der Versuch eignet sich zudem, um Barytwasser als Nachweis für Kohlenstoffdioxid einzufüh</w:t>
                      </w:r>
                      <w:r>
                        <w:rPr>
                          <w:rFonts w:ascii="Cambria" w:hAnsi="Cambria"/>
                        </w:rPr>
                        <w:t xml:space="preserve">ren. </w:t>
                      </w:r>
                    </w:p>
                  </w:txbxContent>
                </v:textbox>
                <w10:wrap type="square" anchorx="margin"/>
              </v:shape>
            </w:pict>
          </mc:Fallback>
        </mc:AlternateContent>
      </w:r>
      <w:r>
        <w:rPr>
          <w:rFonts w:ascii="Cambria" w:eastAsia="MS Gothic" w:hAnsi="Cambria"/>
          <w:b/>
          <w:bCs/>
          <w:color w:val="1D1B11"/>
          <w:szCs w:val="26"/>
        </w:rPr>
        <w:t>V2– Warum prickelt Brausepulver im Mund?</w:t>
      </w:r>
      <w:bookmarkEnd w:id="0"/>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816444">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816444" w:rsidRDefault="000258F2">
            <w:pPr>
              <w:spacing w:after="0" w:line="360" w:lineRule="auto"/>
              <w:jc w:val="center"/>
              <w:rPr>
                <w:rFonts w:ascii="Cambria" w:hAnsi="Cambria"/>
                <w:b/>
                <w:bCs/>
                <w:color w:val="FFFFFF"/>
              </w:rPr>
            </w:pPr>
            <w:r>
              <w:rPr>
                <w:rFonts w:ascii="Cambria" w:hAnsi="Cambria"/>
                <w:b/>
                <w:bCs/>
                <w:color w:val="FFFFFF"/>
              </w:rPr>
              <w:t>Gefahrenstoffe</w:t>
            </w:r>
          </w:p>
        </w:tc>
      </w:tr>
      <w:tr w:rsidR="00816444">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276" w:lineRule="auto"/>
              <w:jc w:val="center"/>
            </w:pPr>
            <w:r>
              <w:rPr>
                <w:rFonts w:ascii="Cambria" w:hAnsi="Cambria"/>
                <w:bCs/>
                <w:color w:val="1D1B11"/>
                <w:sz w:val="20"/>
              </w:rPr>
              <w:t>Brausepulver</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pPr>
            <w:r>
              <w:rPr>
                <w:rFonts w:ascii="Cambria" w:eastAsia="Times New Roman" w:hAnsi="Cambria"/>
                <w:color w:val="1D1B11"/>
                <w:sz w:val="20"/>
                <w:szCs w:val="20"/>
              </w:rPr>
              <w:t>H: -</w:t>
            </w: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rPr>
                <w:rFonts w:ascii="Cambria" w:hAnsi="Cambria"/>
                <w:color w:val="1D1B11"/>
                <w:sz w:val="20"/>
                <w:szCs w:val="20"/>
              </w:rPr>
            </w:pPr>
            <w:r>
              <w:rPr>
                <w:rFonts w:ascii="Cambria" w:hAnsi="Cambria"/>
                <w:color w:val="1D1B11"/>
                <w:sz w:val="20"/>
                <w:szCs w:val="20"/>
              </w:rPr>
              <w:t>P: -</w:t>
            </w:r>
          </w:p>
        </w:tc>
      </w:tr>
      <w:tr w:rsidR="00816444">
        <w:tblPrEx>
          <w:tblCellMar>
            <w:top w:w="0" w:type="dxa"/>
            <w:bottom w:w="0" w:type="dxa"/>
          </w:tblCellMar>
        </w:tblPrEx>
        <w:trPr>
          <w:trHeight w:val="434"/>
        </w:trPr>
        <w:tc>
          <w:tcPr>
            <w:tcW w:w="3027" w:type="dxa"/>
            <w:gridSpan w:val="3"/>
            <w:tcBorders>
              <w:top w:val="single" w:sz="8" w:space="0" w:color="4F81BD"/>
              <w:left w:val="single" w:sz="8" w:space="0" w:color="4F81BD"/>
              <w:bottom w:val="single" w:sz="4" w:space="0" w:color="4F81BD"/>
            </w:tcBorders>
            <w:shd w:val="clear" w:color="auto" w:fill="auto"/>
            <w:tcMar>
              <w:top w:w="0" w:type="dxa"/>
              <w:left w:w="108" w:type="dxa"/>
              <w:bottom w:w="0" w:type="dxa"/>
              <w:right w:w="108" w:type="dxa"/>
            </w:tcMar>
            <w:vAlign w:val="center"/>
          </w:tcPr>
          <w:p w:rsidR="00816444" w:rsidRDefault="000258F2">
            <w:pPr>
              <w:spacing w:after="0" w:line="276" w:lineRule="auto"/>
              <w:jc w:val="center"/>
              <w:rPr>
                <w:rFonts w:ascii="Cambria" w:hAnsi="Cambria"/>
                <w:bCs/>
                <w:color w:val="1D1B11"/>
                <w:sz w:val="20"/>
              </w:rPr>
            </w:pPr>
            <w:r>
              <w:rPr>
                <w:rFonts w:ascii="Cambria" w:hAnsi="Cambria"/>
                <w:bCs/>
                <w:color w:val="1D1B11"/>
                <w:sz w:val="20"/>
              </w:rPr>
              <w:t xml:space="preserve">Wasser </w:t>
            </w:r>
          </w:p>
        </w:tc>
        <w:tc>
          <w:tcPr>
            <w:tcW w:w="3177" w:type="dxa"/>
            <w:gridSpan w:val="3"/>
            <w:tcBorders>
              <w:top w:val="single" w:sz="8" w:space="0" w:color="4F81BD"/>
              <w:bottom w:val="single" w:sz="4" w:space="0" w:color="4F81BD"/>
            </w:tcBorders>
            <w:shd w:val="clear" w:color="auto" w:fill="auto"/>
            <w:tcMar>
              <w:top w:w="0" w:type="dxa"/>
              <w:left w:w="108" w:type="dxa"/>
              <w:bottom w:w="0" w:type="dxa"/>
              <w:right w:w="108" w:type="dxa"/>
            </w:tcMar>
            <w:vAlign w:val="center"/>
          </w:tcPr>
          <w:p w:rsidR="00816444" w:rsidRDefault="000258F2">
            <w:pPr>
              <w:spacing w:after="0" w:line="240" w:lineRule="auto"/>
              <w:rPr>
                <w:rFonts w:ascii="Cambria" w:hAnsi="Cambria"/>
                <w:bCs/>
                <w:sz w:val="20"/>
                <w:szCs w:val="20"/>
              </w:rPr>
            </w:pPr>
            <w:r>
              <w:rPr>
                <w:rFonts w:ascii="Cambria" w:hAnsi="Cambria"/>
                <w:bCs/>
                <w:sz w:val="20"/>
                <w:szCs w:val="20"/>
              </w:rPr>
              <w:t>H: -</w:t>
            </w:r>
          </w:p>
        </w:tc>
        <w:tc>
          <w:tcPr>
            <w:tcW w:w="3118" w:type="dxa"/>
            <w:gridSpan w:val="3"/>
            <w:tcBorders>
              <w:top w:val="single" w:sz="8" w:space="0" w:color="4F81BD"/>
              <w:bottom w:val="single" w:sz="4" w:space="0" w:color="4F81BD"/>
              <w:right w:val="single" w:sz="8" w:space="0" w:color="4F81BD"/>
            </w:tcBorders>
            <w:shd w:val="clear" w:color="auto" w:fill="auto"/>
            <w:tcMar>
              <w:top w:w="0" w:type="dxa"/>
              <w:left w:w="108" w:type="dxa"/>
              <w:bottom w:w="0" w:type="dxa"/>
              <w:right w:w="108" w:type="dxa"/>
            </w:tcMar>
            <w:vAlign w:val="center"/>
          </w:tcPr>
          <w:p w:rsidR="00816444" w:rsidRDefault="000258F2">
            <w:pPr>
              <w:spacing w:after="0" w:line="240" w:lineRule="auto"/>
              <w:rPr>
                <w:rFonts w:ascii="Cambria" w:hAnsi="Cambria"/>
                <w:bCs/>
                <w:sz w:val="20"/>
                <w:szCs w:val="20"/>
              </w:rPr>
            </w:pPr>
            <w:r>
              <w:rPr>
                <w:rFonts w:ascii="Cambria" w:hAnsi="Cambria"/>
                <w:bCs/>
                <w:sz w:val="20"/>
                <w:szCs w:val="20"/>
              </w:rPr>
              <w:t xml:space="preserve">P: - </w:t>
            </w:r>
          </w:p>
        </w:tc>
      </w:tr>
      <w:tr w:rsidR="00816444">
        <w:tblPrEx>
          <w:tblCellMar>
            <w:top w:w="0" w:type="dxa"/>
            <w:bottom w:w="0" w:type="dxa"/>
          </w:tblCellMar>
        </w:tblPrEx>
        <w:trPr>
          <w:trHeight w:val="434"/>
        </w:trPr>
        <w:tc>
          <w:tcPr>
            <w:tcW w:w="3027" w:type="dxa"/>
            <w:gridSpan w:val="3"/>
            <w:tcBorders>
              <w:top w:val="single" w:sz="4" w:space="0" w:color="4F81BD"/>
              <w:left w:val="single" w:sz="8" w:space="0" w:color="4F81BD"/>
              <w:bottom w:val="single" w:sz="4" w:space="0" w:color="4F81BD"/>
            </w:tcBorders>
            <w:shd w:val="clear" w:color="auto" w:fill="auto"/>
            <w:tcMar>
              <w:top w:w="0" w:type="dxa"/>
              <w:left w:w="108" w:type="dxa"/>
              <w:bottom w:w="0" w:type="dxa"/>
              <w:right w:w="108" w:type="dxa"/>
            </w:tcMar>
            <w:vAlign w:val="center"/>
          </w:tcPr>
          <w:p w:rsidR="00816444" w:rsidRDefault="000258F2">
            <w:pPr>
              <w:spacing w:after="0" w:line="276" w:lineRule="auto"/>
              <w:jc w:val="center"/>
              <w:rPr>
                <w:rFonts w:ascii="Cambria" w:hAnsi="Cambria"/>
                <w:bCs/>
                <w:color w:val="1D1B11"/>
                <w:sz w:val="20"/>
              </w:rPr>
            </w:pPr>
            <w:r>
              <w:rPr>
                <w:rFonts w:ascii="Cambria" w:hAnsi="Cambria"/>
                <w:bCs/>
                <w:color w:val="1D1B11"/>
                <w:sz w:val="20"/>
              </w:rPr>
              <w:t xml:space="preserve">Bariumhydroxid </w:t>
            </w:r>
          </w:p>
        </w:tc>
        <w:tc>
          <w:tcPr>
            <w:tcW w:w="3177" w:type="dxa"/>
            <w:gridSpan w:val="3"/>
            <w:tcBorders>
              <w:top w:val="single" w:sz="4" w:space="0" w:color="4F81BD"/>
              <w:bottom w:val="single" w:sz="4" w:space="0" w:color="4F81BD"/>
            </w:tcBorders>
            <w:shd w:val="clear" w:color="auto" w:fill="auto"/>
            <w:tcMar>
              <w:top w:w="0" w:type="dxa"/>
              <w:left w:w="108" w:type="dxa"/>
              <w:bottom w:w="0" w:type="dxa"/>
              <w:right w:w="108" w:type="dxa"/>
            </w:tcMar>
            <w:vAlign w:val="center"/>
          </w:tcPr>
          <w:p w:rsidR="00816444" w:rsidRDefault="000258F2">
            <w:pPr>
              <w:spacing w:after="0" w:line="240" w:lineRule="auto"/>
              <w:rPr>
                <w:rFonts w:ascii="Cambria" w:hAnsi="Cambria"/>
                <w:bCs/>
                <w:sz w:val="20"/>
                <w:szCs w:val="20"/>
              </w:rPr>
            </w:pPr>
            <w:r>
              <w:rPr>
                <w:rFonts w:ascii="Cambria" w:hAnsi="Cambria"/>
                <w:bCs/>
                <w:sz w:val="20"/>
                <w:szCs w:val="20"/>
              </w:rPr>
              <w:t xml:space="preserve">H: 302, 314, 332  </w:t>
            </w:r>
          </w:p>
        </w:tc>
        <w:tc>
          <w:tcPr>
            <w:tcW w:w="3118" w:type="dxa"/>
            <w:gridSpan w:val="3"/>
            <w:tcBorders>
              <w:top w:val="single" w:sz="4" w:space="0" w:color="4F81BD"/>
              <w:bottom w:val="single" w:sz="4" w:space="0" w:color="4F81BD"/>
              <w:right w:val="single" w:sz="4" w:space="0" w:color="4F81BD"/>
            </w:tcBorders>
            <w:shd w:val="clear" w:color="auto" w:fill="auto"/>
            <w:tcMar>
              <w:top w:w="0" w:type="dxa"/>
              <w:left w:w="108" w:type="dxa"/>
              <w:bottom w:w="0" w:type="dxa"/>
              <w:right w:w="108" w:type="dxa"/>
            </w:tcMar>
            <w:vAlign w:val="center"/>
          </w:tcPr>
          <w:p w:rsidR="00816444" w:rsidRDefault="000258F2">
            <w:pPr>
              <w:spacing w:after="0" w:line="240" w:lineRule="auto"/>
            </w:pPr>
            <w:r>
              <w:rPr>
                <w:rFonts w:ascii="Cambria" w:hAnsi="Cambria"/>
                <w:bCs/>
                <w:sz w:val="20"/>
                <w:szCs w:val="20"/>
              </w:rPr>
              <w:t>P:</w:t>
            </w:r>
            <w:r>
              <w:rPr>
                <w:rFonts w:ascii="Cambria" w:hAnsi="Cambria"/>
                <w:bCs/>
                <w:sz w:val="18"/>
                <w:szCs w:val="18"/>
              </w:rPr>
              <w:t xml:space="preserve"> </w:t>
            </w:r>
            <w:r>
              <w:rPr>
                <w:rFonts w:ascii="Cambria" w:hAnsi="Cambria"/>
                <w:bCs/>
                <w:sz w:val="20"/>
                <w:szCs w:val="20"/>
              </w:rPr>
              <w:t xml:space="preserve">260, 280.1-3, </w:t>
            </w:r>
          </w:p>
          <w:p w:rsidR="00816444" w:rsidRDefault="000258F2">
            <w:pPr>
              <w:spacing w:after="0" w:line="240" w:lineRule="auto"/>
              <w:rPr>
                <w:rFonts w:ascii="Cambria" w:hAnsi="Cambria"/>
                <w:bCs/>
                <w:sz w:val="20"/>
                <w:szCs w:val="20"/>
              </w:rPr>
            </w:pPr>
            <w:r>
              <w:rPr>
                <w:rFonts w:ascii="Cambria" w:hAnsi="Cambria"/>
                <w:bCs/>
                <w:sz w:val="20"/>
                <w:szCs w:val="20"/>
              </w:rPr>
              <w:t>301+312, 305+351+338</w:t>
            </w:r>
          </w:p>
        </w:tc>
      </w:tr>
      <w:tr w:rsidR="00816444">
        <w:tblPrEx>
          <w:tblCellMar>
            <w:top w:w="0" w:type="dxa"/>
            <w:bottom w:w="0" w:type="dxa"/>
          </w:tblCellMar>
        </w:tblPrEx>
        <w:tc>
          <w:tcPr>
            <w:tcW w:w="1009" w:type="dxa"/>
            <w:tcBorders>
              <w:top w:val="single" w:sz="4"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b/>
                <w:bCs/>
                <w:noProof/>
                <w:color w:val="1D1B11"/>
                <w:lang w:eastAsia="de-DE"/>
              </w:rPr>
              <w:drawing>
                <wp:inline distT="0" distB="0" distL="0" distR="0">
                  <wp:extent cx="504821" cy="504821"/>
                  <wp:effectExtent l="0" t="0" r="0" b="0"/>
                  <wp:docPr id="2" name="Grafik 4" descr="C:\Users\Caro\Desktop\SVP\Piktogramme\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04821" cy="504821"/>
                          </a:xfrm>
                          <a:prstGeom prst="rect">
                            <a:avLst/>
                          </a:prstGeom>
                          <a:noFill/>
                          <a:ln>
                            <a:noFill/>
                            <a:prstDash/>
                          </a:ln>
                        </pic:spPr>
                      </pic:pic>
                    </a:graphicData>
                  </a:graphic>
                </wp:inline>
              </w:drawing>
            </w:r>
          </w:p>
        </w:tc>
        <w:tc>
          <w:tcPr>
            <w:tcW w:w="1009"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3" name="Grafik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4" name="Grafik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5" name="Grafik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6" name="Grafik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7" name="Grafik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8" name="Grafik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4" w:space="0" w:color="4F81BD"/>
              <w:bottom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33396" cy="533396"/>
                  <wp:effectExtent l="0" t="0" r="4" b="4"/>
                  <wp:docPr id="9" name="Grafik 2" descr="C:\Users\Caro\Desktop\SVP\Piktogramme\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4"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816444" w:rsidRDefault="000258F2">
            <w:pPr>
              <w:spacing w:after="0" w:line="360" w:lineRule="auto"/>
              <w:jc w:val="center"/>
            </w:pPr>
            <w:r>
              <w:rPr>
                <w:rFonts w:ascii="Cambria" w:hAnsi="Cambria"/>
                <w:noProof/>
                <w:color w:val="1D1B11"/>
                <w:lang w:eastAsia="de-DE"/>
              </w:rPr>
              <w:drawing>
                <wp:inline distT="0" distB="0" distL="0" distR="0">
                  <wp:extent cx="504191" cy="504191"/>
                  <wp:effectExtent l="0" t="0" r="0" b="0"/>
                  <wp:docPr id="10" name="Grafik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04191" cy="504191"/>
                          </a:xfrm>
                          <a:prstGeom prst="rect">
                            <a:avLst/>
                          </a:prstGeom>
                          <a:noFill/>
                          <a:ln>
                            <a:noFill/>
                            <a:prstDash/>
                          </a:ln>
                        </pic:spPr>
                      </pic:pic>
                    </a:graphicData>
                  </a:graphic>
                </wp:inline>
              </w:drawing>
            </w:r>
          </w:p>
        </w:tc>
      </w:tr>
    </w:tbl>
    <w:p w:rsidR="00816444" w:rsidRDefault="00816444">
      <w:pPr>
        <w:tabs>
          <w:tab w:val="left" w:pos="1701"/>
          <w:tab w:val="left" w:pos="1985"/>
        </w:tabs>
        <w:spacing w:after="200" w:line="360" w:lineRule="auto"/>
        <w:ind w:left="1980" w:hanging="1980"/>
        <w:jc w:val="both"/>
        <w:rPr>
          <w:rFonts w:ascii="Cambria" w:hAnsi="Cambria"/>
          <w:color w:val="1D1B11"/>
        </w:rPr>
      </w:pPr>
    </w:p>
    <w:p w:rsidR="00816444" w:rsidRDefault="000258F2">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 xml:space="preserve">Materialien: </w:t>
      </w:r>
      <w:r>
        <w:rPr>
          <w:rFonts w:ascii="Cambria" w:hAnsi="Cambria"/>
          <w:color w:val="1D1B11"/>
        </w:rPr>
        <w:tab/>
      </w:r>
      <w:r>
        <w:rPr>
          <w:rFonts w:ascii="Cambria" w:hAnsi="Cambria"/>
          <w:color w:val="1D1B11"/>
        </w:rPr>
        <w:tab/>
        <w:t xml:space="preserve">Reagenzglas, Stativ mit Klammer, </w:t>
      </w:r>
      <w:r>
        <w:rPr>
          <w:rFonts w:ascii="Cambria" w:hAnsi="Cambria"/>
          <w:color w:val="1D1B11"/>
        </w:rPr>
        <w:t xml:space="preserve">Feststofftrichter, Gärröhrchen, Pasteurpipette </w:t>
      </w:r>
    </w:p>
    <w:p w:rsidR="00816444" w:rsidRDefault="000258F2">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Chemikalien:</w:t>
      </w:r>
      <w:r>
        <w:rPr>
          <w:rFonts w:ascii="Cambria" w:hAnsi="Cambria"/>
          <w:color w:val="1D1B11"/>
        </w:rPr>
        <w:tab/>
      </w:r>
      <w:r>
        <w:rPr>
          <w:rFonts w:ascii="Cambria" w:hAnsi="Cambria"/>
          <w:color w:val="1D1B11"/>
        </w:rPr>
        <w:tab/>
        <w:t xml:space="preserve">Wasser, Brausepulver, Bariumhydroxid </w:t>
      </w:r>
    </w:p>
    <w:p w:rsidR="00816444" w:rsidRDefault="000258F2">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 xml:space="preserve">Durchführung: </w:t>
      </w:r>
      <w:r>
        <w:rPr>
          <w:rFonts w:ascii="Cambria" w:hAnsi="Cambria"/>
          <w:color w:val="1D1B11"/>
        </w:rPr>
        <w:tab/>
        <w:t xml:space="preserve">      Befülle das Gärröhrchen vorsichtig mit einer verdünnten Bariumhydroxidlösung. Spanne das Reagenzglas in das Stativ ein und fülle </w:t>
      </w:r>
      <w:r>
        <w:rPr>
          <w:rFonts w:ascii="Cambria" w:hAnsi="Cambria"/>
          <w:color w:val="1D1B11"/>
        </w:rPr>
        <w:t xml:space="preserve">mithilfe eines Trichters ungefähr zwei Spatelspitzen Brausepulver ein. Gib mithilfe der Pasteurpipette vorsichtig Wasser hinzu. Befestige das Gärröhrchen sofort auf dem Reagenzglas und beobachte sorgfältig. </w:t>
      </w:r>
    </w:p>
    <w:p w:rsidR="00816444" w:rsidRDefault="000258F2">
      <w:pPr>
        <w:tabs>
          <w:tab w:val="left" w:pos="1701"/>
          <w:tab w:val="left" w:pos="1985"/>
        </w:tabs>
        <w:spacing w:after="200" w:line="360" w:lineRule="auto"/>
        <w:ind w:left="1980" w:hanging="1980"/>
        <w:jc w:val="both"/>
        <w:rPr>
          <w:rFonts w:ascii="Cambria" w:hAnsi="Cambria"/>
          <w:color w:val="1D1B11"/>
        </w:rPr>
      </w:pPr>
      <w:r>
        <w:rPr>
          <w:rFonts w:ascii="Cambria" w:hAnsi="Cambria"/>
          <w:color w:val="1D1B11"/>
        </w:rPr>
        <w:t>Beobachtung:</w:t>
      </w:r>
      <w:r>
        <w:rPr>
          <w:rFonts w:ascii="Cambria" w:hAnsi="Cambria"/>
          <w:color w:val="1D1B11"/>
        </w:rPr>
        <w:tab/>
      </w:r>
      <w:r>
        <w:rPr>
          <w:rFonts w:ascii="Cambria" w:hAnsi="Cambria"/>
          <w:color w:val="1D1B11"/>
        </w:rPr>
        <w:tab/>
      </w:r>
      <w:r>
        <w:rPr>
          <w:rFonts w:ascii="Cambria" w:hAnsi="Cambria"/>
          <w:color w:val="1D1B11"/>
        </w:rPr>
        <w:tab/>
        <w:t>Es zeigt sich eine starke Gasentw</w:t>
      </w:r>
      <w:r>
        <w:rPr>
          <w:rFonts w:ascii="Cambria" w:hAnsi="Cambria"/>
          <w:color w:val="1D1B11"/>
        </w:rPr>
        <w:t xml:space="preserve">icklung, durch die ein bunter Schaum im Reagenzglas sichtbar wird. In der Bariumhydroxidlösung entsteht ein weißer Niederschlag. </w:t>
      </w:r>
    </w:p>
    <w:p w:rsidR="00816444" w:rsidRDefault="000258F2">
      <w:pPr>
        <w:tabs>
          <w:tab w:val="left" w:pos="1701"/>
          <w:tab w:val="left" w:pos="1985"/>
        </w:tabs>
        <w:spacing w:after="200" w:line="360" w:lineRule="auto"/>
        <w:jc w:val="center"/>
      </w:pPr>
      <w:r>
        <w:rPr>
          <w:rFonts w:ascii="Cambria" w:hAnsi="Cambria"/>
          <w:color w:val="1D1B11"/>
        </w:rPr>
        <w:lastRenderedPageBreak/>
        <w:t xml:space="preserve">                                     </w:t>
      </w:r>
      <w:r>
        <w:rPr>
          <w:rFonts w:ascii="Cambria" w:hAnsi="Cambria"/>
          <w:noProof/>
          <w:color w:val="1D1B11"/>
          <w:lang w:eastAsia="de-DE"/>
        </w:rPr>
        <w:drawing>
          <wp:inline distT="0" distB="0" distL="0" distR="0">
            <wp:extent cx="1707907" cy="2179673"/>
            <wp:effectExtent l="0" t="0" r="6593" b="0"/>
            <wp:docPr id="11" name="Grafik 3" descr="C:\Users\Caro\Desktop\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1707907" cy="2179673"/>
                    </a:xfrm>
                    <a:prstGeom prst="rect">
                      <a:avLst/>
                    </a:prstGeom>
                    <a:noFill/>
                    <a:ln>
                      <a:noFill/>
                      <a:prstDash/>
                    </a:ln>
                  </pic:spPr>
                </pic:pic>
              </a:graphicData>
            </a:graphic>
          </wp:inline>
        </w:drawing>
      </w:r>
    </w:p>
    <w:p w:rsidR="00816444" w:rsidRDefault="000258F2">
      <w:pPr>
        <w:tabs>
          <w:tab w:val="left" w:pos="1701"/>
          <w:tab w:val="left" w:pos="1985"/>
        </w:tabs>
        <w:spacing w:after="200" w:line="360" w:lineRule="auto"/>
        <w:ind w:left="1980" w:hanging="1980"/>
        <w:jc w:val="center"/>
      </w:pPr>
      <w:r>
        <w:rPr>
          <w:rFonts w:ascii="Cambria" w:hAnsi="Cambria"/>
          <w:color w:val="1D1B11"/>
        </w:rPr>
        <w:t xml:space="preserve">                                        </w:t>
      </w:r>
      <w:r>
        <w:rPr>
          <w:rFonts w:ascii="Cambria" w:hAnsi="Cambria"/>
          <w:color w:val="1D1B11"/>
          <w:sz w:val="18"/>
        </w:rPr>
        <w:t xml:space="preserve">Abb. 2 – Starke Gasentwicklung nach Zugabe von </w:t>
      </w:r>
      <w:r>
        <w:rPr>
          <w:rFonts w:ascii="Cambria" w:hAnsi="Cambria"/>
          <w:color w:val="1D1B11"/>
          <w:sz w:val="18"/>
        </w:rPr>
        <w:t xml:space="preserve">Wasser auf Brausepulver. </w:t>
      </w:r>
    </w:p>
    <w:p w:rsidR="00816444" w:rsidRDefault="000258F2">
      <w:pPr>
        <w:tabs>
          <w:tab w:val="left" w:pos="1701"/>
          <w:tab w:val="left" w:pos="1985"/>
        </w:tabs>
        <w:spacing w:after="200" w:line="360" w:lineRule="auto"/>
        <w:ind w:left="2124" w:hanging="2124"/>
        <w:jc w:val="both"/>
        <w:rPr>
          <w:rFonts w:ascii="Cambria" w:hAnsi="Cambria"/>
          <w:color w:val="1D1B11"/>
        </w:rPr>
      </w:pPr>
      <w:r>
        <w:rPr>
          <w:rFonts w:ascii="Cambria" w:hAnsi="Cambria"/>
          <w:color w:val="1D1B11"/>
        </w:rPr>
        <w:t>Deutung:</w:t>
      </w:r>
      <w:r>
        <w:rPr>
          <w:rFonts w:ascii="Cambria" w:hAnsi="Cambria"/>
          <w:color w:val="1D1B11"/>
        </w:rPr>
        <w:tab/>
      </w:r>
      <w:r>
        <w:rPr>
          <w:rFonts w:ascii="Cambria" w:hAnsi="Cambria"/>
          <w:color w:val="1D1B11"/>
        </w:rPr>
        <w:tab/>
      </w:r>
      <w:r>
        <w:rPr>
          <w:rFonts w:ascii="Cambria" w:hAnsi="Cambria"/>
          <w:color w:val="1D1B11"/>
        </w:rPr>
        <w:tab/>
        <w:t>Brausepulver besteht aus den drei Grundzutaten Zucker, Natron und Zitronensäure. Wird Wasser dazu gegeben, so bildet sich ein Gas und Brausewasser. Bei dem Gas handelt es sich um Kohlenstoffdioxid, das in Bariumhydroxid</w:t>
      </w:r>
      <w:r>
        <w:rPr>
          <w:rFonts w:ascii="Cambria" w:hAnsi="Cambria"/>
          <w:color w:val="1D1B11"/>
        </w:rPr>
        <w:t xml:space="preserve">lösung einen weißen Niederschlag hervorruft. </w:t>
      </w:r>
    </w:p>
    <w:p w:rsidR="00816444" w:rsidRDefault="000258F2">
      <w:pPr>
        <w:tabs>
          <w:tab w:val="left" w:pos="1701"/>
          <w:tab w:val="left" w:pos="1985"/>
        </w:tabs>
        <w:spacing w:after="200" w:line="360" w:lineRule="auto"/>
        <w:ind w:left="2124" w:hanging="2124"/>
        <w:jc w:val="both"/>
      </w:pPr>
      <w:r>
        <w:rPr>
          <w:rFonts w:ascii="Cambria" w:hAnsi="Cambria"/>
          <w:color w:val="1D1B11"/>
        </w:rPr>
        <w:tab/>
      </w:r>
      <w:r>
        <w:rPr>
          <w:rFonts w:ascii="Cambria" w:hAnsi="Cambria"/>
          <w:color w:val="FF0000"/>
        </w:rPr>
        <w:tab/>
      </w:r>
      <w:r>
        <w:rPr>
          <w:rFonts w:ascii="Cambria" w:hAnsi="Cambria"/>
          <w:color w:val="FF0000"/>
        </w:rPr>
        <w:tab/>
      </w:r>
      <w:r>
        <w:rPr>
          <w:rFonts w:ascii="Cambria" w:hAnsi="Cambria"/>
          <w:color w:val="000000"/>
        </w:rPr>
        <w:t xml:space="preserve">Fachliche Auswertung: </w:t>
      </w:r>
    </w:p>
    <w:p w:rsidR="00816444" w:rsidRDefault="000258F2">
      <w:pPr>
        <w:tabs>
          <w:tab w:val="left" w:pos="1701"/>
          <w:tab w:val="left" w:pos="1985"/>
        </w:tabs>
        <w:spacing w:after="200" w:line="360" w:lineRule="auto"/>
        <w:ind w:left="2124" w:hanging="2124"/>
        <w:jc w:val="both"/>
        <w:rPr>
          <w:rFonts w:ascii="Cambria" w:hAnsi="Cambria"/>
          <w:color w:val="000000"/>
        </w:rPr>
      </w:pPr>
      <w:r>
        <w:rPr>
          <w:rFonts w:ascii="Cambria" w:hAnsi="Cambria"/>
          <w:color w:val="000000"/>
        </w:rPr>
        <w:tab/>
      </w:r>
      <w:r>
        <w:rPr>
          <w:rFonts w:ascii="Cambria" w:hAnsi="Cambria"/>
          <w:color w:val="000000"/>
        </w:rPr>
        <w:tab/>
      </w:r>
      <w:r>
        <w:rPr>
          <w:rFonts w:ascii="Cambria" w:hAnsi="Cambria"/>
          <w:color w:val="000000"/>
        </w:rPr>
        <w:tab/>
        <w:t>Beim Auflösen in Wasser sprudelt das Brausepulver stark auf, da die organischen Säuren aus Natriumhydrogencarbonat Kohlendioxid entwickeln: die feste organische Säure reagiert mit d</w:t>
      </w:r>
      <w:r>
        <w:rPr>
          <w:rFonts w:ascii="Cambria" w:hAnsi="Cambria"/>
          <w:color w:val="000000"/>
        </w:rPr>
        <w:t>em Anion des Natriumhydrogencarbonats in einer Säure-Base-Reaktion zu Kohlensäure, diese zerfällt in einem zweiten Schritt zu Kohlendioxid und Wasser.</w:t>
      </w:r>
    </w:p>
    <w:p w:rsidR="00816444" w:rsidRDefault="000258F2">
      <w:pPr>
        <w:tabs>
          <w:tab w:val="left" w:pos="1701"/>
          <w:tab w:val="left" w:pos="1985"/>
        </w:tabs>
        <w:spacing w:after="200" w:line="360" w:lineRule="auto"/>
        <w:ind w:left="2124" w:hanging="2124"/>
        <w:jc w:val="both"/>
      </w:pPr>
      <w:r>
        <w:rPr>
          <w:rFonts w:ascii="Cambria" w:hAnsi="Cambria"/>
          <w:color w:val="000000"/>
        </w:rPr>
        <w:tab/>
        <w:t xml:space="preserve">      </w:t>
      </w:r>
      <w:r>
        <w:rPr>
          <w:rFonts w:ascii="Cambria" w:hAnsi="Cambria"/>
          <w:color w:val="000000"/>
        </w:rPr>
        <w:tab/>
      </w:r>
      <m:oMath>
        <m:r>
          <m:rPr>
            <m:sty m:val="p"/>
          </m:rPr>
          <w:rPr>
            <w:rFonts w:ascii="Cambria Math" w:hAnsi="Cambria Math"/>
          </w:rPr>
          <m:t>HC</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w:rPr>
                    <w:rFonts w:ascii="Cambria Math" w:hAnsi="Cambria Math"/>
                  </w:rPr>
                  <m:t>3</m:t>
                </m:r>
              </m:sub>
              <m:sup>
                <m:r>
                  <w:rPr>
                    <w:rFonts w:ascii="Cambria Math" w:hAnsi="Cambria Math"/>
                  </w:rPr>
                  <m:t>-</m:t>
                </m:r>
              </m:sup>
            </m:sSubSup>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H</m:t>
        </m:r>
        <m:sSub>
          <m:sSubPr>
            <m:ctrlPr>
              <w:rPr>
                <w:rFonts w:ascii="Cambria Math" w:hAnsi="Cambria Math"/>
              </w:rPr>
            </m:ctrlPr>
          </m:sSubPr>
          <m:e>
            <m:r>
              <m:rPr>
                <m:sty m:val="p"/>
              </m:rPr>
              <w:rPr>
                <w:rFonts w:ascii="Cambria Math" w:hAnsi="Cambria Math"/>
              </w:rPr>
              <m:t>A</m:t>
            </m:r>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sSubSup>
          <m:sSubSupPr>
            <m:ctrlPr>
              <w:rPr>
                <w:rFonts w:ascii="Cambria Math" w:hAnsi="Cambria Math"/>
              </w:rPr>
            </m:ctrlPr>
          </m:sSubSupPr>
          <m:e>
            <m:r>
              <m:rPr>
                <m:sty m:val="p"/>
              </m:rPr>
              <w:rPr>
                <w:rFonts w:ascii="Cambria Math" w:hAnsi="Cambria Math"/>
              </w:rPr>
              <m:t>A</m:t>
            </m:r>
          </m:e>
          <m:sub>
            <m:d>
              <m:dPr>
                <m:ctrlPr>
                  <w:rPr>
                    <w:rFonts w:ascii="Cambria Math" w:hAnsi="Cambria Math"/>
                  </w:rPr>
                </m:ctrlPr>
              </m:dPr>
              <m:e>
                <m:r>
                  <m:rPr>
                    <m:sty m:val="p"/>
                  </m:rPr>
                  <w:rPr>
                    <w:rFonts w:ascii="Cambria Math" w:hAnsi="Cambria Math"/>
                  </w:rPr>
                  <m:t>aq</m:t>
                </m:r>
              </m:e>
            </m:d>
          </m:sub>
          <m:sup>
            <m:r>
              <w:rPr>
                <w:rFonts w:ascii="Cambria Math" w:hAnsi="Cambria Math"/>
              </w:rPr>
              <m:t>-</m:t>
            </m:r>
          </m:sup>
        </m:sSubSup>
      </m:oMath>
    </w:p>
    <w:p w:rsidR="00816444" w:rsidRDefault="000258F2">
      <w:pPr>
        <w:tabs>
          <w:tab w:val="left" w:pos="1701"/>
          <w:tab w:val="left" w:pos="1985"/>
        </w:tabs>
        <w:spacing w:after="200" w:line="360" w:lineRule="auto"/>
        <w:ind w:left="2124" w:hanging="2124"/>
        <w:jc w:val="both"/>
      </w:pPr>
      <w:r>
        <w:rPr>
          <w:rFonts w:ascii="Cambria" w:hAnsi="Cambria"/>
          <w:color w:val="000000"/>
        </w:rPr>
        <w:tab/>
        <w:t xml:space="preserve">        </w:t>
      </w:r>
      <m:oMath>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w:p>
    <w:p w:rsidR="00816444" w:rsidRDefault="000258F2">
      <w:pPr>
        <w:tabs>
          <w:tab w:val="left" w:pos="1701"/>
          <w:tab w:val="left" w:pos="1985"/>
        </w:tabs>
        <w:spacing w:after="200" w:line="360" w:lineRule="auto"/>
        <w:ind w:left="2124" w:hanging="2124"/>
        <w:jc w:val="both"/>
        <w:rPr>
          <w:rFonts w:ascii="Cambria" w:hAnsi="Cambria"/>
          <w:color w:val="000000"/>
        </w:rPr>
      </w:pPr>
      <w:r>
        <w:rPr>
          <w:rFonts w:ascii="Cambria" w:hAnsi="Cambria"/>
          <w:color w:val="000000"/>
        </w:rPr>
        <w:tab/>
      </w:r>
      <w:r>
        <w:rPr>
          <w:rFonts w:ascii="Cambria" w:hAnsi="Cambria"/>
          <w:color w:val="000000"/>
        </w:rPr>
        <w:tab/>
      </w:r>
      <w:r>
        <w:rPr>
          <w:rFonts w:ascii="Cambria" w:hAnsi="Cambria"/>
          <w:color w:val="000000"/>
        </w:rPr>
        <w:tab/>
        <w:t>Der Vorteil in der Verwendung von Barytwasser gegenüber Kalkwasser liegt darin, das</w:t>
      </w:r>
      <w:r>
        <w:rPr>
          <w:rFonts w:ascii="Cambria" w:hAnsi="Cambria"/>
          <w:color w:val="000000"/>
        </w:rPr>
        <w:t xml:space="preserve">s Barytwasser ein noch empfindlicheres Nachweisreagenz für Kohlenstoffdioxid ist. </w:t>
      </w:r>
    </w:p>
    <w:p w:rsidR="00816444" w:rsidRDefault="000258F2">
      <w:pPr>
        <w:tabs>
          <w:tab w:val="left" w:pos="1701"/>
          <w:tab w:val="left" w:pos="1985"/>
        </w:tabs>
        <w:spacing w:after="200" w:line="360" w:lineRule="auto"/>
        <w:ind w:left="2124" w:hanging="2124"/>
        <w:jc w:val="both"/>
      </w:pPr>
      <w:r>
        <w:rPr>
          <w:rFonts w:ascii="Cambria" w:hAnsi="Cambria"/>
          <w:color w:val="000000"/>
        </w:rPr>
        <w:tab/>
      </w:r>
      <w:r>
        <w:rPr>
          <w:rFonts w:ascii="Cambria" w:hAnsi="Cambria"/>
          <w:color w:val="000000"/>
        </w:rPr>
        <w:tab/>
      </w:r>
      <w:r>
        <w:rPr>
          <w:rFonts w:ascii="Cambria" w:hAnsi="Cambria"/>
          <w:color w:val="000000"/>
        </w:rPr>
        <w:tab/>
      </w:r>
      <m:oMath>
        <m:r>
          <m:rPr>
            <m:sty m:val="p"/>
          </m:rPr>
          <w:rPr>
            <w:rFonts w:ascii="Cambria Math" w:hAnsi="Cambria Math"/>
          </w:rPr>
          <m:t>Ba</m:t>
        </m:r>
        <m:sSub>
          <m:sSubPr>
            <m:ctrlPr>
              <w:rPr>
                <w:rFonts w:ascii="Cambria Math" w:hAnsi="Cambria Math"/>
              </w:rPr>
            </m:ctrlPr>
          </m:sSubPr>
          <m:e>
            <m:sSub>
              <m:sSubPr>
                <m:ctrlPr>
                  <w:rPr>
                    <w:rFonts w:ascii="Cambria Math" w:hAnsi="Cambria Math"/>
                  </w:rPr>
                </m:ctrlPr>
              </m:sSubPr>
              <m:e>
                <m:d>
                  <m:dPr>
                    <m:ctrlPr>
                      <w:rPr>
                        <w:rFonts w:ascii="Cambria Math" w:hAnsi="Cambria Math"/>
                      </w:rPr>
                    </m:ctrlPr>
                  </m:dPr>
                  <m:e>
                    <m:r>
                      <m:rPr>
                        <m:sty m:val="p"/>
                      </m:rPr>
                      <w:rPr>
                        <w:rFonts w:ascii="Cambria Math" w:hAnsi="Cambria Math"/>
                      </w:rPr>
                      <m:t>OH</m:t>
                    </m:r>
                  </m:e>
                </m:d>
              </m:e>
              <m:sub>
                <m:r>
                  <w:rPr>
                    <w:rFonts w:ascii="Cambria Math" w:hAnsi="Cambria Math"/>
                  </w:rPr>
                  <m:t>2</m:t>
                </m:r>
              </m:sub>
            </m:sSub>
          </m:e>
          <m:sub>
            <m:d>
              <m:dPr>
                <m:ctrlPr>
                  <w:rPr>
                    <w:rFonts w:ascii="Cambria Math" w:hAnsi="Cambria Math"/>
                  </w:rPr>
                </m:ctrlPr>
              </m:dPr>
              <m:e>
                <m:r>
                  <m:rPr>
                    <m:sty m:val="p"/>
                  </m:rPr>
                  <w:rPr>
                    <w:rFonts w:ascii="Cambria Math" w:hAnsi="Cambria Math"/>
                  </w:rPr>
                  <m:t>aq</m:t>
                </m:r>
              </m:e>
            </m:d>
          </m:sub>
        </m:sSub>
        <m:r>
          <w:rPr>
            <w:rFonts w:ascii="Cambria Math" w:hAnsi="Cambria Math"/>
          </w:rPr>
          <m:t>+</m:t>
        </m:r>
        <m:r>
          <m:rPr>
            <m:sty m:val="p"/>
          </m:rPr>
          <w:rPr>
            <w:rFonts w:ascii="Cambria Math" w:hAnsi="Cambria Math"/>
          </w:rPr>
          <m:t>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2</m:t>
                </m:r>
              </m:sub>
            </m:sSub>
          </m:e>
          <m:sub>
            <m:d>
              <m:dPr>
                <m:ctrlPr>
                  <w:rPr>
                    <w:rFonts w:ascii="Cambria Math" w:hAnsi="Cambria Math"/>
                  </w:rPr>
                </m:ctrlPr>
              </m:dPr>
              <m:e>
                <m:r>
                  <m:rPr>
                    <m:sty m:val="p"/>
                  </m:rPr>
                  <w:rPr>
                    <w:rFonts w:ascii="Cambria Math" w:hAnsi="Cambria Math"/>
                  </w:rPr>
                  <m:t>g</m:t>
                </m:r>
              </m:e>
            </m:d>
          </m:sub>
        </m:sSub>
        <m:r>
          <w:rPr>
            <w:rFonts w:ascii="Cambria Math" w:hAnsi="Cambria Math"/>
          </w:rPr>
          <m:t>→</m:t>
        </m:r>
        <m:r>
          <m:rPr>
            <m:sty m:val="p"/>
          </m:rPr>
          <w:rPr>
            <w:rFonts w:ascii="Cambria Math" w:hAnsi="Cambria Math"/>
          </w:rPr>
          <m:t>BaC</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O</m:t>
                </m:r>
              </m:e>
              <m:sub>
                <m:r>
                  <w:rPr>
                    <w:rFonts w:ascii="Cambria Math" w:hAnsi="Cambria Math"/>
                  </w:rPr>
                  <m:t>3</m:t>
                </m:r>
              </m:sub>
            </m:sSub>
          </m:e>
          <m:sub>
            <m:d>
              <m:dPr>
                <m:ctrlPr>
                  <w:rPr>
                    <w:rFonts w:ascii="Cambria Math" w:hAnsi="Cambria Math"/>
                  </w:rPr>
                </m:ctrlPr>
              </m:dPr>
              <m:e>
                <m:r>
                  <m:rPr>
                    <m:sty m:val="p"/>
                  </m:rPr>
                  <w:rPr>
                    <w:rFonts w:ascii="Cambria Math" w:hAnsi="Cambria Math"/>
                  </w:rPr>
                  <m:t>s</m:t>
                </m:r>
              </m:e>
            </m:d>
          </m:sub>
        </m:sSub>
        <m:r>
          <w:rPr>
            <w:rFonts w:ascii="Cambria Math" w:hAnsi="Cambria Math"/>
          </w:rPr>
          <m:t>+</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sSub>
          <m:sSubPr>
            <m:ctrlPr>
              <w:rPr>
                <w:rFonts w:ascii="Cambria Math" w:hAnsi="Cambria Math"/>
              </w:rPr>
            </m:ctrlPr>
          </m:sSubPr>
          <m:e>
            <m:r>
              <m:rPr>
                <m:sty m:val="p"/>
              </m:rPr>
              <w:rPr>
                <w:rFonts w:ascii="Cambria Math" w:hAnsi="Cambria Math"/>
              </w:rPr>
              <m:t>O</m:t>
            </m:r>
          </m:e>
          <m:sub>
            <m:d>
              <m:dPr>
                <m:ctrlPr>
                  <w:rPr>
                    <w:rFonts w:ascii="Cambria Math" w:hAnsi="Cambria Math"/>
                  </w:rPr>
                </m:ctrlPr>
              </m:dPr>
              <m:e>
                <m:r>
                  <m:rPr>
                    <m:sty m:val="p"/>
                  </m:rPr>
                  <w:rPr>
                    <w:rFonts w:ascii="Cambria Math" w:hAnsi="Cambria Math"/>
                  </w:rPr>
                  <m:t>l</m:t>
                </m:r>
              </m:e>
            </m:d>
          </m:sub>
        </m:sSub>
      </m:oMath>
    </w:p>
    <w:p w:rsidR="00816444" w:rsidRDefault="000258F2">
      <w:pPr>
        <w:tabs>
          <w:tab w:val="left" w:pos="1701"/>
          <w:tab w:val="left" w:pos="1985"/>
        </w:tabs>
        <w:spacing w:after="200" w:line="360" w:lineRule="auto"/>
        <w:ind w:left="2124" w:hanging="2124"/>
        <w:jc w:val="both"/>
        <w:rPr>
          <w:rFonts w:ascii="Cambria" w:hAnsi="Cambria"/>
          <w:color w:val="1D1B11"/>
        </w:rPr>
      </w:pPr>
      <w:r>
        <w:rPr>
          <w:rFonts w:ascii="Cambria" w:hAnsi="Cambria"/>
          <w:color w:val="1D1B11"/>
        </w:rPr>
        <w:t>Entsorgung:</w:t>
      </w:r>
      <w:r>
        <w:rPr>
          <w:rFonts w:ascii="Cambria" w:hAnsi="Cambria"/>
          <w:color w:val="1D1B11"/>
        </w:rPr>
        <w:tab/>
      </w:r>
      <w:r>
        <w:rPr>
          <w:rFonts w:ascii="Cambria" w:hAnsi="Cambria"/>
          <w:color w:val="1D1B11"/>
        </w:rPr>
        <w:tab/>
      </w:r>
      <w:r>
        <w:rPr>
          <w:rFonts w:ascii="Cambria" w:hAnsi="Cambria"/>
          <w:color w:val="1D1B11"/>
        </w:rPr>
        <w:tab/>
        <w:t xml:space="preserve">Die Bariumhydroxid-Lösung wird im Schwermetallbehälter entsorgt. Die    Brausepulver-Lösung kann im Abguss entsorgt werden. </w:t>
      </w:r>
    </w:p>
    <w:p w:rsidR="00816444" w:rsidRDefault="000258F2">
      <w:pPr>
        <w:tabs>
          <w:tab w:val="left" w:pos="1701"/>
          <w:tab w:val="left" w:pos="1985"/>
        </w:tabs>
        <w:spacing w:after="200" w:line="360" w:lineRule="auto"/>
        <w:ind w:left="2124" w:hanging="2124"/>
        <w:jc w:val="both"/>
        <w:rPr>
          <w:rFonts w:ascii="Cambria" w:hAnsi="Cambria"/>
          <w:color w:val="1D1B11"/>
        </w:rPr>
      </w:pPr>
      <w:r>
        <w:rPr>
          <w:rFonts w:ascii="Cambria" w:hAnsi="Cambria"/>
          <w:color w:val="1D1B11"/>
        </w:rPr>
        <w:t xml:space="preserve">Literatur: </w:t>
      </w:r>
    </w:p>
    <w:p w:rsidR="00816444" w:rsidRDefault="000258F2">
      <w:pPr>
        <w:spacing w:after="200" w:line="276" w:lineRule="auto"/>
      </w:pPr>
      <w:r>
        <w:rPr>
          <w:rFonts w:ascii="Cambria" w:hAnsi="Cambria"/>
          <w:color w:val="1D1B11"/>
        </w:rPr>
        <w:lastRenderedPageBreak/>
        <w:t>Wagner, Walter, ht</w:t>
      </w:r>
      <w:r>
        <w:rPr>
          <w:rFonts w:ascii="Cambria" w:hAnsi="Cambria"/>
          <w:color w:val="1D1B11"/>
        </w:rPr>
        <w:t>tp://daten.didaktikchemie.uni-bayreuth.de/experimente/effekt/photo_brausepulver.htm, 26.07.2016 (Zuletzt abgerufen am 26.07.2016 um 19:37Uhr).</w:t>
      </w:r>
      <w:r>
        <w:rPr>
          <w:rFonts w:ascii="Cambria" w:eastAsia="MS Gothic" w:hAnsi="Cambria"/>
          <w:b/>
          <w:bCs/>
          <w:color w:val="1D1B11"/>
          <w:sz w:val="28"/>
          <w:szCs w:val="28"/>
        </w:rPr>
        <w:t xml:space="preserve"> </w:t>
      </w:r>
    </w:p>
    <w:p w:rsidR="00816444" w:rsidRDefault="000258F2">
      <w:pPr>
        <w:spacing w:after="200" w:line="276" w:lineRule="auto"/>
      </w:pPr>
      <w:r>
        <w:rPr>
          <w:rFonts w:ascii="Cambria" w:hAnsi="Cambria"/>
          <w:color w:val="1D1B11"/>
        </w:rPr>
        <w:t>Didaktik der Chemie Uni Würzburg, http://www.didaktik.chemie.uni-wuerzburg.de/fileadmin/08010034/ ser_uload/Egg_</w:t>
      </w:r>
      <w:r>
        <w:rPr>
          <w:rFonts w:ascii="Cambria" w:hAnsi="Cambria"/>
          <w:color w:val="1D1B11"/>
        </w:rPr>
        <w:t>Races/Herstellung_schoenste_Bonbons.pdf</w:t>
      </w:r>
    </w:p>
    <w:p w:rsidR="00816444" w:rsidRDefault="00816444"/>
    <w:sectPr w:rsidR="0081644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8F2" w:rsidRDefault="000258F2">
      <w:pPr>
        <w:spacing w:after="0" w:line="240" w:lineRule="auto"/>
      </w:pPr>
      <w:r>
        <w:separator/>
      </w:r>
    </w:p>
  </w:endnote>
  <w:endnote w:type="continuationSeparator" w:id="0">
    <w:p w:rsidR="000258F2" w:rsidRDefault="0002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8F2" w:rsidRDefault="000258F2">
      <w:pPr>
        <w:spacing w:after="0" w:line="240" w:lineRule="auto"/>
      </w:pPr>
      <w:r>
        <w:rPr>
          <w:color w:val="000000"/>
        </w:rPr>
        <w:separator/>
      </w:r>
    </w:p>
  </w:footnote>
  <w:footnote w:type="continuationSeparator" w:id="0">
    <w:p w:rsidR="000258F2" w:rsidRDefault="000258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16444"/>
    <w:rsid w:val="000258F2"/>
    <w:rsid w:val="007B32EC"/>
    <w:rsid w:val="008164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1A326F-3091-46EE-9AB5-3A3989B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2016-08-12T11:14:00Z</dcterms:created>
  <dcterms:modified xsi:type="dcterms:W3CDTF">2016-08-12T11:14:00Z</dcterms:modified>
</cp:coreProperties>
</file>