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00" w:rsidRPr="00CC307A" w:rsidRDefault="00507700" w:rsidP="00507700">
      <w:pPr>
        <w:pStyle w:val="berschrift2"/>
        <w:rPr>
          <w:color w:val="auto"/>
        </w:rPr>
      </w:pPr>
      <w:bookmarkStart w:id="0" w:name="_Toc457583641"/>
      <w:r>
        <w:rPr>
          <w:noProof/>
          <w:lang w:eastAsia="de-DE"/>
        </w:rPr>
        <mc:AlternateContent>
          <mc:Choice Requires="wps">
            <w:drawing>
              <wp:anchor distT="0" distB="0" distL="114300" distR="114300" simplePos="0" relativeHeight="251659264" behindDoc="0" locked="0" layoutInCell="1" allowOverlap="1" wp14:anchorId="28E14FB8" wp14:editId="66BC1B09">
                <wp:simplePos x="0" y="0"/>
                <wp:positionH relativeFrom="margin">
                  <wp:align>left</wp:align>
                </wp:positionH>
                <wp:positionV relativeFrom="paragraph">
                  <wp:posOffset>397510</wp:posOffset>
                </wp:positionV>
                <wp:extent cx="5873115" cy="1114425"/>
                <wp:effectExtent l="0" t="0" r="13335" b="28575"/>
                <wp:wrapSquare wrapText="bothSides"/>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44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7700" w:rsidRPr="00F31EBF" w:rsidRDefault="00507700" w:rsidP="00507700">
                            <w:pPr>
                              <w:rPr>
                                <w:color w:val="auto"/>
                              </w:rPr>
                            </w:pPr>
                            <w:r>
                              <w:rPr>
                                <w:color w:val="auto"/>
                              </w:rPr>
                              <w:t>In diesem Versuch soll die Eigenschaft der unterschiedlichen Dichte bei Flüssigkeiten und Feststoffen ausgenutzt werden, um ein Fest-Flüssig-Gemisch mithilfe der Zentrifugalkraft zu trennen. Für die Auswertung dieses Versuchs ist es notwendig, dass die SuS bereits das Thema der Zentrifugalkraft und –</w:t>
                            </w:r>
                            <w:proofErr w:type="spellStart"/>
                            <w:r>
                              <w:rPr>
                                <w:color w:val="auto"/>
                              </w:rPr>
                              <w:t>beschleunigung</w:t>
                            </w:r>
                            <w:proofErr w:type="spellEnd"/>
                            <w:r>
                              <w:rPr>
                                <w:color w:val="auto"/>
                              </w:rPr>
                              <w:t xml:space="preserve"> behandelt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14FB8" id="_x0000_t202" coordsize="21600,21600" o:spt="202" path="m,l,21600r21600,l21600,xe">
                <v:stroke joinstyle="miter"/>
                <v:path gradientshapeok="t" o:connecttype="rect"/>
              </v:shapetype>
              <v:shape id="Text Box 60" o:spid="_x0000_s1026" type="#_x0000_t202" style="position:absolute;left:0;text-align:left;margin-left:0;margin-top:31.3pt;width:462.45pt;height:8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" fillcolor="white [3201]" strokecolor="#4472c4 [3208]" strokeweight="1pt">
                <v:stroke dashstyle="dash"/>
                <v:shadow color="#868686"/>
                <v:textbox>
                  <w:txbxContent>
                    <w:p w:rsidR="00507700" w:rsidRPr="00F31EBF" w:rsidRDefault="00507700" w:rsidP="00507700">
                      <w:pPr>
                        <w:rPr>
                          <w:color w:val="auto"/>
                        </w:rPr>
                      </w:pPr>
                      <w:r>
                        <w:rPr>
                          <w:color w:val="auto"/>
                        </w:rPr>
                        <w:t>In diesem Versuch soll die Eigenschaft der unterschiedlichen Dichte bei Flüssigkeiten und Feststoffen ausgenutzt werden, um ein Fest-Flüssig-Gemisch mithilfe der Zentrifugalkraft zu trennen. Für die Auswertung dieses Versuchs ist es notwendig, dass die SuS bereits das Thema der Zentrifugalkraft und –</w:t>
                      </w:r>
                      <w:proofErr w:type="spellStart"/>
                      <w:r>
                        <w:rPr>
                          <w:color w:val="auto"/>
                        </w:rPr>
                        <w:t>beschleunigung</w:t>
                      </w:r>
                      <w:proofErr w:type="spellEnd"/>
                      <w:r>
                        <w:rPr>
                          <w:color w:val="auto"/>
                        </w:rPr>
                        <w:t xml:space="preserve"> behandelt haben.</w:t>
                      </w:r>
                    </w:p>
                  </w:txbxContent>
                </v:textbox>
                <w10:wrap type="square" anchorx="margin"/>
              </v:shape>
            </w:pict>
          </mc:Fallback>
        </mc:AlternateContent>
      </w:r>
      <w:r w:rsidRPr="00CC307A">
        <w:rPr>
          <w:color w:val="auto"/>
        </w:rPr>
        <w:t>V2 –</w:t>
      </w:r>
      <w:bookmarkStart w:id="1" w:name="_GoBack"/>
      <w:r>
        <w:rPr>
          <w:color w:val="auto"/>
        </w:rPr>
        <w:t>Trennung von Feststoff und Flüssigkeit mithilfe von Zentrifugalkraft</w:t>
      </w:r>
      <w:bookmarkEnd w:id="0"/>
      <w:bookmarkEnd w:id="1"/>
    </w:p>
    <w:p w:rsidR="00507700" w:rsidRPr="00220757" w:rsidRDefault="00507700" w:rsidP="0050770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07700" w:rsidRPr="009C5E28" w:rsidTr="009236E9">
        <w:tc>
          <w:tcPr>
            <w:tcW w:w="9322" w:type="dxa"/>
            <w:gridSpan w:val="9"/>
            <w:shd w:val="clear" w:color="auto" w:fill="4F81BD"/>
            <w:vAlign w:val="center"/>
          </w:tcPr>
          <w:p w:rsidR="00507700" w:rsidRPr="00F31EBF" w:rsidRDefault="00507700" w:rsidP="009236E9">
            <w:pPr>
              <w:spacing w:after="0"/>
              <w:jc w:val="center"/>
              <w:rPr>
                <w:b/>
                <w:bCs/>
                <w:color w:val="FFFFFF" w:themeColor="background1"/>
              </w:rPr>
            </w:pPr>
            <w:r w:rsidRPr="00F31EBF">
              <w:rPr>
                <w:b/>
                <w:bCs/>
                <w:color w:val="FFFFFF" w:themeColor="background1"/>
              </w:rPr>
              <w:t>Gefahrenstoffe</w:t>
            </w:r>
          </w:p>
        </w:tc>
      </w:tr>
      <w:tr w:rsidR="00507700"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07700" w:rsidRPr="009C5E28" w:rsidRDefault="00507700" w:rsidP="009236E9">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07700" w:rsidRPr="009C5E28" w:rsidRDefault="00507700" w:rsidP="009236E9">
            <w:pPr>
              <w:spacing w:after="0"/>
              <w:jc w:val="center"/>
            </w:pPr>
            <w:r w:rsidRPr="009C5E28">
              <w:rPr>
                <w:sz w:val="20"/>
              </w:rPr>
              <w:t xml:space="preserve">P: </w:t>
            </w:r>
            <w:r>
              <w:t>-</w:t>
            </w:r>
          </w:p>
        </w:tc>
      </w:tr>
      <w:tr w:rsidR="00507700"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507700" w:rsidRPr="009C5E28" w:rsidRDefault="00507700" w:rsidP="009236E9">
            <w:pPr>
              <w:spacing w:after="0"/>
              <w:jc w:val="center"/>
              <w:rPr>
                <w:b/>
                <w:bCs/>
              </w:rPr>
            </w:pPr>
            <w:r w:rsidRPr="00336881">
              <w:rPr>
                <w:rFonts w:asciiTheme="majorHAnsi" w:hAnsiTheme="majorHAnsi"/>
                <w:b/>
                <w:noProof/>
                <w:color w:val="auto"/>
                <w:lang w:eastAsia="de-DE"/>
              </w:rPr>
              <w:drawing>
                <wp:inline distT="0" distB="0" distL="0" distR="0" wp14:anchorId="59661643" wp14:editId="3C70FB0E">
                  <wp:extent cx="538061" cy="540000"/>
                  <wp:effectExtent l="0" t="0" r="0" b="0"/>
                  <wp:docPr id="10"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555C2572" wp14:editId="4B156CB1">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0FF799D2" wp14:editId="28D4C6C3">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05D9E688" wp14:editId="136DB205">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72532FA6" wp14:editId="7C57D83B">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510F430C" wp14:editId="518C07B0">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040FCD19" wp14:editId="6D3BE99B">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2E7DE1FC" wp14:editId="2E5351FF">
                  <wp:extent cx="511175" cy="511175"/>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07700" w:rsidRPr="009C5E28" w:rsidRDefault="00507700" w:rsidP="009236E9">
            <w:pPr>
              <w:spacing w:after="0"/>
              <w:jc w:val="center"/>
            </w:pPr>
            <w:r>
              <w:rPr>
                <w:noProof/>
                <w:lang w:eastAsia="de-DE"/>
              </w:rPr>
              <w:drawing>
                <wp:inline distT="0" distB="0" distL="0" distR="0" wp14:anchorId="4D7D681F" wp14:editId="5F1047D9">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07700" w:rsidRDefault="00507700" w:rsidP="00507700">
      <w:pPr>
        <w:tabs>
          <w:tab w:val="left" w:pos="1701"/>
          <w:tab w:val="left" w:pos="1985"/>
        </w:tabs>
        <w:ind w:left="1980" w:hanging="1980"/>
      </w:pPr>
    </w:p>
    <w:p w:rsidR="00507700" w:rsidRPr="00C704E1" w:rsidRDefault="00507700" w:rsidP="00507700">
      <w:pPr>
        <w:tabs>
          <w:tab w:val="left" w:pos="1701"/>
          <w:tab w:val="left" w:pos="1985"/>
        </w:tabs>
        <w:ind w:left="1980" w:hanging="1980"/>
        <w:rPr>
          <w:color w:val="FF0000"/>
        </w:rPr>
      </w:pPr>
      <w:r>
        <w:t xml:space="preserve">Materialien: </w:t>
      </w:r>
      <w:r>
        <w:tab/>
      </w:r>
      <w:r>
        <w:tab/>
        <w:t>Wasser, Erde, Salatschleuder, Reagenzglas mit Drehverschluss, Stopfen mit Drehverschluss, Stärke</w:t>
      </w:r>
    </w:p>
    <w:p w:rsidR="00507700" w:rsidRPr="00ED07C2" w:rsidRDefault="00507700" w:rsidP="00507700">
      <w:pPr>
        <w:tabs>
          <w:tab w:val="left" w:pos="1701"/>
          <w:tab w:val="left" w:pos="1985"/>
        </w:tabs>
        <w:ind w:left="1980" w:hanging="1980"/>
      </w:pPr>
      <w:r>
        <w:t>Chemikalien:</w:t>
      </w:r>
      <w:r>
        <w:tab/>
      </w:r>
      <w:r>
        <w:tab/>
        <w:t>-</w:t>
      </w:r>
    </w:p>
    <w:p w:rsidR="00507700" w:rsidRDefault="00507700" w:rsidP="00507700">
      <w:pPr>
        <w:tabs>
          <w:tab w:val="left" w:pos="1701"/>
          <w:tab w:val="left" w:pos="1985"/>
        </w:tabs>
        <w:ind w:left="1980" w:hanging="1980"/>
      </w:pPr>
      <w:r>
        <w:t xml:space="preserve">Durchführung: </w:t>
      </w:r>
      <w:r>
        <w:tab/>
      </w:r>
      <w:r>
        <w:tab/>
      </w:r>
      <w:r>
        <w:tab/>
        <w:t>Sowohl zwei Teelöffel Erde als auch zwei Teelöffel Stärke werden mit je 30 </w:t>
      </w:r>
      <w:proofErr w:type="spellStart"/>
      <w:r>
        <w:t>mL</w:t>
      </w:r>
      <w:proofErr w:type="spellEnd"/>
      <w:r>
        <w:t xml:space="preserve"> Wasser versetzt und gerührt. Jede der zwei Lösungen wird in das Reagenzglas mit Drehverschluss gefüllt (</w:t>
      </w:r>
      <w:proofErr w:type="spellStart"/>
      <w:r>
        <w:t>Zentrifugengefäß</w:t>
      </w:r>
      <w:proofErr w:type="spellEnd"/>
      <w:r>
        <w:t xml:space="preserve">) und verschlossen. Zuerst wird die Suspension eine halbe Minute und dann zwei weitere Minuten „geschleudert“. Es wird jeweils der Absetzungsgrad des Feststoffs betrachtet. </w:t>
      </w:r>
    </w:p>
    <w:p w:rsidR="00507700" w:rsidRDefault="00507700" w:rsidP="00507700">
      <w:pPr>
        <w:tabs>
          <w:tab w:val="left" w:pos="1701"/>
          <w:tab w:val="left" w:pos="1985"/>
        </w:tabs>
        <w:ind w:left="1980" w:hanging="1980"/>
      </w:pPr>
      <w:r>
        <w:t>Beobachtung:</w:t>
      </w:r>
      <w:r>
        <w:tab/>
      </w:r>
      <w:r>
        <w:tab/>
      </w:r>
      <w:r>
        <w:tab/>
        <w:t>Bereits nach einer halben Minute hat sich am Boden Feststoff abgesetzt. Nach weiteren zwei Minuten hat sich diese abgesetzte Menge ein wenig vermehrt. Die Lösungen sind dennoch weiterhin trüb.</w:t>
      </w:r>
    </w:p>
    <w:p w:rsidR="00507700" w:rsidRDefault="00507700" w:rsidP="00507700">
      <w:pPr>
        <w:pStyle w:val="Beschriftung"/>
        <w:jc w:val="center"/>
      </w:pPr>
      <w:r>
        <w:rPr>
          <w:noProof/>
          <w:lang w:eastAsia="de-DE"/>
        </w:rPr>
        <w:lastRenderedPageBreak/>
        <w:drawing>
          <wp:inline distT="0" distB="0" distL="0" distR="0" wp14:anchorId="0EA140D4" wp14:editId="5B40B531">
            <wp:extent cx="1107733" cy="2364622"/>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20160726_101228.jpg"/>
                    <pic:cNvPicPr/>
                  </pic:nvPicPr>
                  <pic:blipFill>
                    <a:blip r:embed="rId15" cstate="print">
                      <a:extLst>
                        <a:ext uri="{28A0092B-C50C-407E-A947-70E740481C1C}">
                          <a14:useLocalDpi xmlns:a14="http://schemas.microsoft.com/office/drawing/2010/main"/>
                        </a:ext>
                      </a:extLst>
                    </a:blip>
                    <a:stretch>
                      <a:fillRect/>
                    </a:stretch>
                  </pic:blipFill>
                  <pic:spPr>
                    <a:xfrm>
                      <a:off x="0" y="0"/>
                      <a:ext cx="1116033" cy="2382340"/>
                    </a:xfrm>
                    <a:prstGeom prst="rect">
                      <a:avLst/>
                    </a:prstGeom>
                  </pic:spPr>
                </pic:pic>
              </a:graphicData>
            </a:graphic>
          </wp:inline>
        </w:drawing>
      </w:r>
      <w:r>
        <w:t xml:space="preserve">   </w:t>
      </w:r>
      <w:r>
        <w:rPr>
          <w:noProof/>
          <w:lang w:eastAsia="de-DE"/>
        </w:rPr>
        <w:drawing>
          <wp:inline distT="0" distB="0" distL="0" distR="0" wp14:anchorId="5C741122" wp14:editId="6BC23A9D">
            <wp:extent cx="1020520" cy="2330988"/>
            <wp:effectExtent l="0" t="0" r="8255"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20160726_101143.jpg"/>
                    <pic:cNvPicPr/>
                  </pic:nvPicPr>
                  <pic:blipFill>
                    <a:blip r:embed="rId16" cstate="print">
                      <a:extLst>
                        <a:ext uri="{28A0092B-C50C-407E-A947-70E740481C1C}">
                          <a14:useLocalDpi xmlns:a14="http://schemas.microsoft.com/office/drawing/2010/main"/>
                        </a:ext>
                      </a:extLst>
                    </a:blip>
                    <a:stretch>
                      <a:fillRect/>
                    </a:stretch>
                  </pic:blipFill>
                  <pic:spPr>
                    <a:xfrm>
                      <a:off x="0" y="0"/>
                      <a:ext cx="1028025" cy="2348131"/>
                    </a:xfrm>
                    <a:prstGeom prst="rect">
                      <a:avLst/>
                    </a:prstGeom>
                  </pic:spPr>
                </pic:pic>
              </a:graphicData>
            </a:graphic>
          </wp:inline>
        </w:drawing>
      </w:r>
      <w:r>
        <w:t xml:space="preserve">   </w:t>
      </w:r>
      <w:r>
        <w:rPr>
          <w:noProof/>
          <w:lang w:eastAsia="de-DE"/>
        </w:rPr>
        <w:drawing>
          <wp:inline distT="0" distB="0" distL="0" distR="0" wp14:anchorId="154F7D24" wp14:editId="25809B55">
            <wp:extent cx="971550" cy="2352442"/>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20160726_101858.jpg"/>
                    <pic:cNvPicPr/>
                  </pic:nvPicPr>
                  <pic:blipFill>
                    <a:blip r:embed="rId17" cstate="print">
                      <a:extLst>
                        <a:ext uri="{28A0092B-C50C-407E-A947-70E740481C1C}">
                          <a14:useLocalDpi xmlns:a14="http://schemas.microsoft.com/office/drawing/2010/main"/>
                        </a:ext>
                      </a:extLst>
                    </a:blip>
                    <a:stretch>
                      <a:fillRect/>
                    </a:stretch>
                  </pic:blipFill>
                  <pic:spPr>
                    <a:xfrm>
                      <a:off x="0" y="0"/>
                      <a:ext cx="973501" cy="2357167"/>
                    </a:xfrm>
                    <a:prstGeom prst="rect">
                      <a:avLst/>
                    </a:prstGeom>
                  </pic:spPr>
                </pic:pic>
              </a:graphicData>
            </a:graphic>
          </wp:inline>
        </w:drawing>
      </w:r>
    </w:p>
    <w:p w:rsidR="00507700" w:rsidRDefault="00507700" w:rsidP="00507700">
      <w:pPr>
        <w:pStyle w:val="Beschriftung"/>
        <w:jc w:val="center"/>
      </w:pPr>
      <w:r>
        <w:t xml:space="preserve">Abb. 2 – </w:t>
      </w:r>
      <w:r>
        <w:rPr>
          <w:noProof/>
        </w:rPr>
        <w:t>Zentrifugierte Stärke-Wasser-Suspension nach 0 min. (links), nach 30 s(Mitte) und nach 2 min. (rechts).</w:t>
      </w:r>
    </w:p>
    <w:p w:rsidR="00507700" w:rsidRDefault="00507700" w:rsidP="00507700">
      <w:pPr>
        <w:tabs>
          <w:tab w:val="left" w:pos="1701"/>
          <w:tab w:val="left" w:pos="1985"/>
        </w:tabs>
        <w:ind w:left="2124" w:hanging="2124"/>
        <w:rPr>
          <w:rFonts w:eastAsiaTheme="minorEastAsia"/>
        </w:rPr>
      </w:pPr>
      <w:r>
        <w:t>Deutung:</w:t>
      </w:r>
      <w:r>
        <w:tab/>
      </w:r>
      <w:r>
        <w:tab/>
      </w:r>
      <w:r>
        <w:tab/>
        <w:t xml:space="preserve">Zentrifugen nutzen die Massenträgheit im Inneren der Zentrifuge zur Stofftrennung. Materialien mit höherer Dichte weisen eine höhere Trägheit auf, weshalb sie während des Zentrifugierens aufgrund der Zentrifugalkraft nach außen gezogen werden. Dementsprechend lagern sich Flüssigkeiten und Materialien mit niedrigerer Dichte in der Mitte oder im oberen Bereich des </w:t>
      </w:r>
      <w:proofErr w:type="spellStart"/>
      <w:r>
        <w:t>Zentrifugengefäßes</w:t>
      </w:r>
      <w:proofErr w:type="spellEnd"/>
      <w:r>
        <w:t xml:space="preserve"> an.</w:t>
      </w:r>
    </w:p>
    <w:p w:rsidR="00507700" w:rsidRDefault="00507700" w:rsidP="00507700">
      <w:pPr>
        <w:spacing w:line="276" w:lineRule="auto"/>
        <w:jc w:val="left"/>
      </w:pPr>
      <w:r>
        <w:t>Entsorgung:</w:t>
      </w:r>
      <w:r>
        <w:tab/>
        <w:t xml:space="preserve">           </w:t>
      </w:r>
      <w:r>
        <w:tab/>
        <w:t>Die Entsorgung der Suspensionen erfolgt im Abfluss.</w:t>
      </w:r>
    </w:p>
    <w:p w:rsidR="00507700" w:rsidRDefault="00507700" w:rsidP="00507700">
      <w:pPr>
        <w:spacing w:line="276" w:lineRule="auto"/>
        <w:ind w:left="2124" w:hanging="2124"/>
        <w:jc w:val="left"/>
        <w:rPr>
          <w:color w:val="auto"/>
        </w:rPr>
      </w:pPr>
      <w:r>
        <w:t>Literatur:</w:t>
      </w:r>
      <w:r>
        <w:tab/>
      </w:r>
      <w:r>
        <w:rPr>
          <w:color w:val="auto"/>
        </w:rPr>
        <w:t xml:space="preserve">[3] </w:t>
      </w:r>
      <w:hyperlink r:id="rId18" w:history="1">
        <w:r w:rsidRPr="00283281">
          <w:rPr>
            <w:rStyle w:val="Hyperlink"/>
            <w:color w:val="auto"/>
          </w:rPr>
          <w:t>http://www.chemie.de/lexikon/Zentrifuge.html</w:t>
        </w:r>
      </w:hyperlink>
      <w:r w:rsidRPr="00283281">
        <w:rPr>
          <w:color w:val="auto"/>
        </w:rPr>
        <w:t xml:space="preserve"> </w:t>
      </w:r>
      <w:r>
        <w:rPr>
          <w:color w:val="auto"/>
        </w:rPr>
        <w:t>(zuletzt aufgerufen am 26.07.2016)</w:t>
      </w:r>
    </w:p>
    <w:p w:rsidR="00507700" w:rsidRPr="005B60E3" w:rsidRDefault="00507700" w:rsidP="00507700">
      <w:pPr>
        <w:spacing w:line="276" w:lineRule="auto"/>
        <w:jc w:val="left"/>
        <w:rPr>
          <w:rFonts w:asciiTheme="majorHAnsi" w:eastAsiaTheme="majorEastAsia" w:hAnsiTheme="majorHAnsi" w:cstheme="majorBidi"/>
          <w:b/>
          <w:bCs/>
          <w:sz w:val="28"/>
          <w:szCs w:val="28"/>
        </w:rPr>
      </w:pPr>
    </w:p>
    <w:p w:rsidR="00507700" w:rsidRPr="00CC307A" w:rsidRDefault="00507700" w:rsidP="00507700">
      <w:pPr>
        <w:tabs>
          <w:tab w:val="left" w:pos="1701"/>
          <w:tab w:val="left" w:pos="1985"/>
        </w:tabs>
        <w:ind w:left="1980" w:hanging="1980"/>
      </w:pPr>
      <w:r>
        <w:rPr>
          <w:noProof/>
          <w:lang w:eastAsia="de-DE"/>
        </w:rPr>
        <mc:AlternateContent>
          <mc:Choice Requires="wps">
            <w:drawing>
              <wp:inline distT="0" distB="0" distL="0" distR="0" wp14:anchorId="51D3C9C5" wp14:editId="44F065C1">
                <wp:extent cx="5873115" cy="573405"/>
                <wp:effectExtent l="13970" t="6985" r="8890" b="10160"/>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34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7700" w:rsidRPr="00F31EBF" w:rsidRDefault="00507700" w:rsidP="00507700">
                            <w:pPr>
                              <w:rPr>
                                <w:color w:val="auto"/>
                              </w:rPr>
                            </w:pPr>
                            <w:r w:rsidRPr="00F31EBF">
                              <w:rPr>
                                <w:b/>
                                <w:color w:val="auto"/>
                              </w:rPr>
                              <w:t>Unterrichtsanschlüsse</w:t>
                            </w:r>
                            <w:r>
                              <w:rPr>
                                <w:b/>
                                <w:color w:val="auto"/>
                              </w:rPr>
                              <w:t>:</w:t>
                            </w:r>
                            <w:r w:rsidRPr="00F31EBF">
                              <w:rPr>
                                <w:b/>
                                <w:color w:val="auto"/>
                              </w:rPr>
                              <w:t xml:space="preserve"> </w:t>
                            </w:r>
                            <w:r>
                              <w:rPr>
                                <w:color w:val="auto"/>
                              </w:rPr>
                              <w:t>Der Versuch eignet sich sowohl für den Chemieunterricht als auch für den Physikunterricht, da zum einen der Aspekt der Dichte und zum anderen die Zentrifugalkraft behandelt werden.</w:t>
                            </w:r>
                          </w:p>
                        </w:txbxContent>
                      </wps:txbx>
                      <wps:bodyPr rot="0" vert="horz" wrap="square" lIns="91440" tIns="45720" rIns="91440" bIns="45720" anchor="t" anchorCtr="0" upright="1">
                        <a:noAutofit/>
                      </wps:bodyPr>
                    </wps:wsp>
                  </a:graphicData>
                </a:graphic>
              </wp:inline>
            </w:drawing>
          </mc:Choice>
          <mc:Fallback>
            <w:pict>
              <v:shape w14:anchorId="51D3C9C5" id="Text Box 131" o:spid="_x0000_s1027" type="#_x0000_t202" style="width:462.4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" fillcolor="white [3201]" strokecolor="#ed7d31 [3205]" strokeweight="1pt">
                <v:stroke dashstyle="dash"/>
                <v:shadow color="#868686"/>
                <v:textbox>
                  <w:txbxContent>
                    <w:p w:rsidR="00507700" w:rsidRPr="00F31EBF" w:rsidRDefault="00507700" w:rsidP="00507700">
                      <w:pPr>
                        <w:rPr>
                          <w:color w:val="auto"/>
                        </w:rPr>
                      </w:pPr>
                      <w:r w:rsidRPr="00F31EBF">
                        <w:rPr>
                          <w:b/>
                          <w:color w:val="auto"/>
                        </w:rPr>
                        <w:t>Unterrichtsanschlüsse</w:t>
                      </w:r>
                      <w:r>
                        <w:rPr>
                          <w:b/>
                          <w:color w:val="auto"/>
                        </w:rPr>
                        <w:t>:</w:t>
                      </w:r>
                      <w:r w:rsidRPr="00F31EBF">
                        <w:rPr>
                          <w:b/>
                          <w:color w:val="auto"/>
                        </w:rPr>
                        <w:t xml:space="preserve"> </w:t>
                      </w:r>
                      <w:r>
                        <w:rPr>
                          <w:color w:val="auto"/>
                        </w:rPr>
                        <w:t>Der Versuch eignet sich sowohl für den Chemieunterricht als auch für den Physikunterricht, da zum einen der Aspekt der Dichte und zum anderen die Zentrifugalkraft behandelt werden.</w:t>
                      </w:r>
                    </w:p>
                  </w:txbxContent>
                </v:textbox>
                <w10:anchorlock/>
              </v:shape>
            </w:pict>
          </mc:Fallback>
        </mc:AlternateContent>
      </w:r>
    </w:p>
    <w:p w:rsidR="00EB619B" w:rsidRDefault="00507700"/>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00"/>
    <w:rsid w:val="000C761C"/>
    <w:rsid w:val="00125E17"/>
    <w:rsid w:val="00176474"/>
    <w:rsid w:val="0034208B"/>
    <w:rsid w:val="003E3AD9"/>
    <w:rsid w:val="00507700"/>
    <w:rsid w:val="00641C7C"/>
    <w:rsid w:val="006B6773"/>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79F85-F43D-4736-900A-FA360620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50770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0770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0770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0770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0770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0770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0770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077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077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077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770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0770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0770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0770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0770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0770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077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077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077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07700"/>
    <w:pPr>
      <w:spacing w:line="240" w:lineRule="auto"/>
    </w:pPr>
    <w:rPr>
      <w:bCs/>
      <w:color w:val="auto"/>
      <w:sz w:val="18"/>
      <w:szCs w:val="18"/>
    </w:rPr>
  </w:style>
  <w:style w:type="character" w:styleId="Hyperlink">
    <w:name w:val="Hyperlink"/>
    <w:basedOn w:val="Absatz-Standardschriftart"/>
    <w:uiPriority w:val="99"/>
    <w:unhideWhenUsed/>
    <w:rsid w:val="00507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hyperlink" Target="http://www.chemie.de/lexikon/Zentrifuge.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2016-08-08T18:27:00Z</dcterms:created>
  <dcterms:modified xsi:type="dcterms:W3CDTF">2016-08-08T18:28:00Z</dcterms:modified>
</cp:coreProperties>
</file>