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D0D" w:rsidRPr="00CC307A" w:rsidRDefault="00C92D0D" w:rsidP="00C92D0D">
      <w:pPr>
        <w:pStyle w:val="berschrift1"/>
        <w:numPr>
          <w:ilvl w:val="0"/>
          <w:numId w:val="0"/>
        </w:numPr>
        <w:ind w:left="432" w:hanging="432"/>
      </w:pPr>
      <w:bookmarkStart w:id="0" w:name="_Toc457908927"/>
      <w:r>
        <w:rPr>
          <w:noProof/>
          <w:lang w:eastAsia="de-DE"/>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598170</wp:posOffset>
                </wp:positionV>
                <wp:extent cx="5873115" cy="2493645"/>
                <wp:effectExtent l="0" t="0" r="13335" b="2095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249364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2D0D" w:rsidRDefault="00C92D0D" w:rsidP="00C92D0D">
                            <w:pPr>
                              <w:spacing w:after="0"/>
                              <w:rPr>
                                <w:color w:val="auto"/>
                              </w:rPr>
                            </w:pPr>
                            <w:r>
                              <w:rPr>
                                <w:color w:val="auto"/>
                              </w:rPr>
                              <w:t xml:space="preserve">Dieser Versuch zeigt anschaulich eine exotherme Reaktion. Außerdem wird den </w:t>
                            </w:r>
                            <w:proofErr w:type="spellStart"/>
                            <w:r>
                              <w:rPr>
                                <w:color w:val="auto"/>
                              </w:rPr>
                              <w:t>SuS</w:t>
                            </w:r>
                            <w:proofErr w:type="spellEnd"/>
                            <w:r>
                              <w:rPr>
                                <w:color w:val="auto"/>
                              </w:rPr>
                              <w:t xml:space="preserve"> eine Selbstentzündung gezeigt und damit verdeutlicht, dass die exotherme Reaktion nicht durch die Flamme sichtbar ist, sondern dass die Flamme eine Folge der freigesetzten Energie der exothermen Reaktion ist.</w:t>
                            </w:r>
                          </w:p>
                          <w:p w:rsidR="00C92D0D" w:rsidRDefault="00C92D0D" w:rsidP="00C92D0D">
                            <w:pPr>
                              <w:spacing w:after="0"/>
                              <w:rPr>
                                <w:color w:val="auto"/>
                              </w:rPr>
                            </w:pPr>
                            <w:r>
                              <w:rPr>
                                <w:color w:val="auto"/>
                              </w:rPr>
                              <w:t xml:space="preserve">Durch die schnelle Selbstentzündung ist der Versuch eher als Lehrerversuch geeignet. Er kann von </w:t>
                            </w:r>
                            <w:proofErr w:type="spellStart"/>
                            <w:r>
                              <w:rPr>
                                <w:color w:val="auto"/>
                              </w:rPr>
                              <w:t>SuS</w:t>
                            </w:r>
                            <w:proofErr w:type="spellEnd"/>
                            <w:r>
                              <w:rPr>
                                <w:color w:val="auto"/>
                              </w:rPr>
                              <w:t xml:space="preserve"> durchgeführt werden, wenn diese in ihren Experimentierfähigkeiten bereits gut geübt sind und eine Gefährdung beinahe ausgeschlossen werden kann.</w:t>
                            </w:r>
                          </w:p>
                          <w:p w:rsidR="00C92D0D" w:rsidRPr="00F31EBF" w:rsidRDefault="00C92D0D" w:rsidP="00C92D0D">
                            <w:pPr>
                              <w:rPr>
                                <w:color w:val="auto"/>
                              </w:rPr>
                            </w:pPr>
                            <w:r>
                              <w:rPr>
                                <w:color w:val="auto"/>
                              </w:rPr>
                              <w:t xml:space="preserve">Die </w:t>
                            </w:r>
                            <w:proofErr w:type="spellStart"/>
                            <w:r>
                              <w:rPr>
                                <w:color w:val="auto"/>
                              </w:rPr>
                              <w:t>SuS</w:t>
                            </w:r>
                            <w:proofErr w:type="spellEnd"/>
                            <w:r>
                              <w:rPr>
                                <w:color w:val="auto"/>
                              </w:rPr>
                              <w:t xml:space="preserve"> müssen die charakteristische Flammenfärbung verschiedener Metalle kennen, um Natrium identifizieren zu können. Außerdem müssen sie anhand der Wärmeentwicklung erkennen können, dass die Reaktion exotherm abläuft.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0;margin-top:47.1pt;width:462.45pt;height:196.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" fillcolor="white [3201]" strokecolor="#4472c4 [3208]" strokeweight="1pt">
                <v:stroke dashstyle="dash"/>
                <v:shadow color="#868686"/>
                <v:textbox>
                  <w:txbxContent>
                    <w:p w:rsidR="00C92D0D" w:rsidRDefault="00C92D0D" w:rsidP="00C92D0D">
                      <w:pPr>
                        <w:spacing w:after="0"/>
                        <w:rPr>
                          <w:color w:val="auto"/>
                        </w:rPr>
                      </w:pPr>
                      <w:r>
                        <w:rPr>
                          <w:color w:val="auto"/>
                        </w:rPr>
                        <w:t xml:space="preserve">Dieser Versuch zeigt anschaulich eine exotherme Reaktion. Außerdem wird den </w:t>
                      </w:r>
                      <w:proofErr w:type="spellStart"/>
                      <w:r>
                        <w:rPr>
                          <w:color w:val="auto"/>
                        </w:rPr>
                        <w:t>SuS</w:t>
                      </w:r>
                      <w:proofErr w:type="spellEnd"/>
                      <w:r>
                        <w:rPr>
                          <w:color w:val="auto"/>
                        </w:rPr>
                        <w:t xml:space="preserve"> eine Selbstentzündung gezeigt und damit verdeutlicht, dass die exotherme Reaktion nicht durch die Flamme sichtbar ist, sondern dass die Flamme eine Folge der freigesetzten Energie der exothermen Reaktion ist.</w:t>
                      </w:r>
                    </w:p>
                    <w:p w:rsidR="00C92D0D" w:rsidRDefault="00C92D0D" w:rsidP="00C92D0D">
                      <w:pPr>
                        <w:spacing w:after="0"/>
                        <w:rPr>
                          <w:color w:val="auto"/>
                        </w:rPr>
                      </w:pPr>
                      <w:r>
                        <w:rPr>
                          <w:color w:val="auto"/>
                        </w:rPr>
                        <w:t xml:space="preserve">Durch die schnelle Selbstentzündung ist der Versuch eher als Lehrerversuch geeignet. Er kann von </w:t>
                      </w:r>
                      <w:proofErr w:type="spellStart"/>
                      <w:r>
                        <w:rPr>
                          <w:color w:val="auto"/>
                        </w:rPr>
                        <w:t>SuS</w:t>
                      </w:r>
                      <w:proofErr w:type="spellEnd"/>
                      <w:r>
                        <w:rPr>
                          <w:color w:val="auto"/>
                        </w:rPr>
                        <w:t xml:space="preserve"> durchgeführt werden, wenn diese in ihren Experimentierfähigkeiten bereits gut geübt sind und eine Gefährdung beinahe ausgeschlossen werden kann.</w:t>
                      </w:r>
                    </w:p>
                    <w:p w:rsidR="00C92D0D" w:rsidRPr="00F31EBF" w:rsidRDefault="00C92D0D" w:rsidP="00C92D0D">
                      <w:pPr>
                        <w:rPr>
                          <w:color w:val="auto"/>
                        </w:rPr>
                      </w:pPr>
                      <w:r>
                        <w:rPr>
                          <w:color w:val="auto"/>
                        </w:rPr>
                        <w:t xml:space="preserve">Die </w:t>
                      </w:r>
                      <w:proofErr w:type="spellStart"/>
                      <w:r>
                        <w:rPr>
                          <w:color w:val="auto"/>
                        </w:rPr>
                        <w:t>SuS</w:t>
                      </w:r>
                      <w:proofErr w:type="spellEnd"/>
                      <w:r>
                        <w:rPr>
                          <w:color w:val="auto"/>
                        </w:rPr>
                        <w:t xml:space="preserve"> müssen die charakteristische Flammenfärbung verschiedener Metalle kennen, um Natrium identifizieren zu können. Außerdem müssen sie anhand der Wärmeentwicklung erkennen können, dass die Reaktion exotherm abläuft.</w:t>
                      </w:r>
                    </w:p>
                  </w:txbxContent>
                </v:textbox>
                <w10:wrap type="square" anchorx="margin"/>
              </v:shape>
            </w:pict>
          </mc:Fallback>
        </mc:AlternateContent>
      </w:r>
      <w:bookmarkStart w:id="1" w:name="_GoBack"/>
      <w:bookmarkEnd w:id="1"/>
      <w:r w:rsidRPr="00CC307A">
        <w:t xml:space="preserve">V1 – </w:t>
      </w:r>
      <w:r>
        <w:t>Der Feuerblitz</w:t>
      </w:r>
      <w:bookmarkEnd w:id="0"/>
    </w:p>
    <w:p w:rsidR="00C92D0D" w:rsidRDefault="00C92D0D" w:rsidP="00C92D0D">
      <w:pPr>
        <w:pStyle w:val="berschrift2"/>
        <w:numPr>
          <w:ilvl w:val="0"/>
          <w:numId w:val="0"/>
        </w:numPr>
      </w:pPr>
      <w:bookmarkStart w:id="2" w:name="_Toc425776595"/>
      <w:bookmarkStart w:id="3" w:name="_Toc456688591"/>
      <w:bookmarkStart w:id="4" w:name="_Toc456688607"/>
      <w:bookmarkEnd w:id="2"/>
      <w:bookmarkEnd w:id="3"/>
      <w:bookmarkEnd w:id="4"/>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C92D0D" w:rsidRPr="009C5E28" w:rsidTr="00017F5A">
        <w:tc>
          <w:tcPr>
            <w:tcW w:w="9322" w:type="dxa"/>
            <w:gridSpan w:val="9"/>
            <w:shd w:val="clear" w:color="auto" w:fill="4F81BD"/>
            <w:vAlign w:val="center"/>
          </w:tcPr>
          <w:p w:rsidR="00C92D0D" w:rsidRPr="00F31EBF" w:rsidRDefault="00C92D0D" w:rsidP="00017F5A">
            <w:pPr>
              <w:spacing w:after="0"/>
              <w:jc w:val="center"/>
              <w:rPr>
                <w:b/>
                <w:bCs/>
                <w:color w:val="FFFFFF" w:themeColor="background1"/>
              </w:rPr>
            </w:pPr>
            <w:r w:rsidRPr="00F31EBF">
              <w:rPr>
                <w:b/>
                <w:bCs/>
                <w:color w:val="FFFFFF" w:themeColor="background1"/>
              </w:rPr>
              <w:t>Gefahrenstoffe</w:t>
            </w:r>
          </w:p>
        </w:tc>
      </w:tr>
      <w:tr w:rsidR="00C92D0D" w:rsidRPr="009C5E28" w:rsidTr="00017F5A">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C92D0D" w:rsidRPr="009C5E28" w:rsidRDefault="00C92D0D" w:rsidP="00017F5A">
            <w:pPr>
              <w:spacing w:after="0" w:line="276" w:lineRule="auto"/>
              <w:jc w:val="center"/>
              <w:rPr>
                <w:b/>
                <w:bCs/>
              </w:rPr>
            </w:pPr>
            <w:r>
              <w:rPr>
                <w:sz w:val="20"/>
              </w:rPr>
              <w:t>Kaliumpermanganat</w:t>
            </w:r>
          </w:p>
        </w:tc>
        <w:tc>
          <w:tcPr>
            <w:tcW w:w="3177" w:type="dxa"/>
            <w:gridSpan w:val="3"/>
            <w:tcBorders>
              <w:top w:val="single" w:sz="8" w:space="0" w:color="4F81BD"/>
              <w:bottom w:val="single" w:sz="8" w:space="0" w:color="4F81BD"/>
            </w:tcBorders>
            <w:shd w:val="clear" w:color="auto" w:fill="auto"/>
            <w:vAlign w:val="center"/>
          </w:tcPr>
          <w:p w:rsidR="00C92D0D" w:rsidRPr="009C5E28" w:rsidRDefault="00C92D0D" w:rsidP="00017F5A">
            <w:pPr>
              <w:spacing w:after="0" w:line="240" w:lineRule="auto"/>
              <w:jc w:val="center"/>
            </w:pPr>
            <w:r>
              <w:rPr>
                <w:sz w:val="20"/>
              </w:rPr>
              <w:t>H: 272-302-314-410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C92D0D" w:rsidRPr="009C5E28" w:rsidRDefault="00C92D0D" w:rsidP="00017F5A">
            <w:pPr>
              <w:spacing w:after="0" w:line="240" w:lineRule="auto"/>
              <w:jc w:val="center"/>
            </w:pPr>
            <w:r w:rsidRPr="004A251D">
              <w:rPr>
                <w:sz w:val="20"/>
                <w:szCs w:val="20"/>
              </w:rPr>
              <w:t>P: 220-</w:t>
            </w:r>
            <w:r>
              <w:rPr>
                <w:sz w:val="20"/>
                <w:szCs w:val="20"/>
              </w:rPr>
              <w:t>273-280-305+351+338-310-501.1</w:t>
            </w:r>
          </w:p>
        </w:tc>
      </w:tr>
      <w:tr w:rsidR="00C92D0D" w:rsidRPr="009C5E28" w:rsidTr="00017F5A">
        <w:trPr>
          <w:trHeight w:val="434"/>
        </w:trPr>
        <w:tc>
          <w:tcPr>
            <w:tcW w:w="3027" w:type="dxa"/>
            <w:gridSpan w:val="3"/>
            <w:tcBorders>
              <w:bottom w:val="single" w:sz="4" w:space="0" w:color="5B9BD5" w:themeColor="accent1"/>
            </w:tcBorders>
            <w:shd w:val="clear" w:color="auto" w:fill="auto"/>
            <w:vAlign w:val="center"/>
          </w:tcPr>
          <w:p w:rsidR="00C92D0D" w:rsidRPr="009C5E28" w:rsidRDefault="00C92D0D" w:rsidP="00017F5A">
            <w:pPr>
              <w:spacing w:after="0" w:line="276" w:lineRule="auto"/>
              <w:jc w:val="center"/>
              <w:rPr>
                <w:bCs/>
                <w:sz w:val="20"/>
              </w:rPr>
            </w:pPr>
            <w:r>
              <w:rPr>
                <w:color w:val="auto"/>
                <w:sz w:val="20"/>
                <w:szCs w:val="20"/>
              </w:rPr>
              <w:t>Glycerin</w:t>
            </w:r>
          </w:p>
        </w:tc>
        <w:tc>
          <w:tcPr>
            <w:tcW w:w="3177" w:type="dxa"/>
            <w:gridSpan w:val="3"/>
            <w:tcBorders>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sidRPr="009C5E28">
              <w:rPr>
                <w:sz w:val="20"/>
              </w:rPr>
              <w:t xml:space="preserve">H: </w:t>
            </w:r>
            <w:hyperlink r:id="rId5" w:anchor="H-S.C3.A4tze" w:tooltip="H- und P-Sätze" w:history="1">
              <w:r w:rsidRPr="009C5E28">
                <w:rPr>
                  <w:rStyle w:val="Hyperlink"/>
                  <w:sz w:val="20"/>
                </w:rPr>
                <w:t>332</w:t>
              </w:r>
            </w:hyperlink>
            <w:r w:rsidRPr="009C5E28">
              <w:rPr>
                <w:sz w:val="20"/>
              </w:rPr>
              <w:t>-</w:t>
            </w:r>
            <w:hyperlink r:id="rId6" w:anchor="H-S.C3.A4tze" w:tooltip="H- und P-Sätze" w:history="1">
              <w:r w:rsidRPr="009C5E28">
                <w:rPr>
                  <w:rStyle w:val="Hyperlink"/>
                  <w:sz w:val="20"/>
                </w:rPr>
                <w:t>302</w:t>
              </w:r>
            </w:hyperlink>
            <w:r w:rsidRPr="009C5E28">
              <w:rPr>
                <w:sz w:val="20"/>
              </w:rPr>
              <w:t>-</w:t>
            </w:r>
            <w:hyperlink r:id="rId7" w:anchor="H-S.C3.A4tze" w:tooltip="H- und P-Sätze" w:history="1">
              <w:r w:rsidRPr="009C5E28">
                <w:rPr>
                  <w:rStyle w:val="Hyperlink"/>
                  <w:sz w:val="20"/>
                </w:rPr>
                <w:t>314</w:t>
              </w:r>
            </w:hyperlink>
          </w:p>
        </w:tc>
        <w:tc>
          <w:tcPr>
            <w:tcW w:w="3118" w:type="dxa"/>
            <w:gridSpan w:val="3"/>
            <w:tcBorders>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sidRPr="009C5E28">
              <w:rPr>
                <w:sz w:val="20"/>
              </w:rPr>
              <w:t xml:space="preserve">P: </w:t>
            </w:r>
            <w:hyperlink r:id="rId8" w:anchor="P-S.C3.A4tze" w:tooltip="H- und P-Sätze" w:history="1">
              <w:r w:rsidRPr="009C5E28">
                <w:rPr>
                  <w:rStyle w:val="Hyperlink"/>
                  <w:sz w:val="20"/>
                </w:rPr>
                <w:t>280</w:t>
              </w:r>
            </w:hyperlink>
            <w:r>
              <w:rPr>
                <w:sz w:val="20"/>
              </w:rPr>
              <w:t>-</w:t>
            </w:r>
            <w:hyperlink r:id="rId9" w:anchor="P-S.C3.A4tze" w:tooltip="H- und P-Sätze" w:history="1">
              <w:r w:rsidRPr="009C5E28">
                <w:rPr>
                  <w:rStyle w:val="Hyperlink"/>
                  <w:sz w:val="20"/>
                </w:rPr>
                <w:t>301+330+331</w:t>
              </w:r>
            </w:hyperlink>
          </w:p>
        </w:tc>
      </w:tr>
      <w:tr w:rsidR="00C92D0D" w:rsidRPr="009C5E28" w:rsidTr="00017F5A">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C92D0D" w:rsidRDefault="00C92D0D" w:rsidP="00017F5A">
            <w:pPr>
              <w:spacing w:after="0" w:line="276" w:lineRule="auto"/>
              <w:jc w:val="center"/>
              <w:rPr>
                <w:color w:val="auto"/>
                <w:sz w:val="20"/>
                <w:szCs w:val="20"/>
              </w:rPr>
            </w:pPr>
            <w:r>
              <w:rPr>
                <w:color w:val="auto"/>
                <w:sz w:val="20"/>
                <w:szCs w:val="20"/>
              </w:rPr>
              <w:t>Wasser</w:t>
            </w:r>
          </w:p>
        </w:tc>
        <w:tc>
          <w:tcPr>
            <w:tcW w:w="3177"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w:t>
            </w:r>
          </w:p>
        </w:tc>
        <w:tc>
          <w:tcPr>
            <w:tcW w:w="3118"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w:t>
            </w:r>
          </w:p>
        </w:tc>
      </w:tr>
      <w:tr w:rsidR="00C92D0D" w:rsidRPr="009C5E28" w:rsidTr="00017F5A">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C92D0D" w:rsidRDefault="00C92D0D" w:rsidP="00017F5A">
            <w:pPr>
              <w:spacing w:after="0" w:line="276" w:lineRule="auto"/>
              <w:jc w:val="center"/>
              <w:rPr>
                <w:color w:val="auto"/>
                <w:sz w:val="20"/>
                <w:szCs w:val="20"/>
              </w:rPr>
            </w:pPr>
            <w:r>
              <w:rPr>
                <w:color w:val="auto"/>
                <w:sz w:val="20"/>
                <w:szCs w:val="20"/>
              </w:rPr>
              <w:t>Kohlenstoffdioxid</w:t>
            </w:r>
          </w:p>
        </w:tc>
        <w:tc>
          <w:tcPr>
            <w:tcW w:w="3177"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H: 280</w:t>
            </w:r>
          </w:p>
        </w:tc>
        <w:tc>
          <w:tcPr>
            <w:tcW w:w="3118"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P: 403</w:t>
            </w:r>
          </w:p>
        </w:tc>
      </w:tr>
      <w:tr w:rsidR="00C92D0D" w:rsidRPr="009C5E28" w:rsidTr="00017F5A">
        <w:trPr>
          <w:trHeight w:val="434"/>
        </w:trPr>
        <w:tc>
          <w:tcPr>
            <w:tcW w:w="3027" w:type="dxa"/>
            <w:gridSpan w:val="3"/>
            <w:tcBorders>
              <w:top w:val="single" w:sz="4" w:space="0" w:color="5B9BD5" w:themeColor="accent1"/>
              <w:bottom w:val="single" w:sz="4" w:space="0" w:color="5B9BD5" w:themeColor="accent1"/>
            </w:tcBorders>
            <w:shd w:val="clear" w:color="auto" w:fill="auto"/>
            <w:vAlign w:val="center"/>
          </w:tcPr>
          <w:p w:rsidR="00C92D0D" w:rsidRDefault="00C92D0D" w:rsidP="00017F5A">
            <w:pPr>
              <w:spacing w:after="0" w:line="276" w:lineRule="auto"/>
              <w:jc w:val="center"/>
              <w:rPr>
                <w:color w:val="auto"/>
                <w:sz w:val="20"/>
                <w:szCs w:val="20"/>
              </w:rPr>
            </w:pPr>
            <w:r>
              <w:rPr>
                <w:color w:val="auto"/>
                <w:sz w:val="20"/>
                <w:szCs w:val="20"/>
              </w:rPr>
              <w:t>Kaliumcarbonat</w:t>
            </w:r>
          </w:p>
        </w:tc>
        <w:tc>
          <w:tcPr>
            <w:tcW w:w="3177"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H: 315-319-335</w:t>
            </w:r>
          </w:p>
        </w:tc>
        <w:tc>
          <w:tcPr>
            <w:tcW w:w="3118" w:type="dxa"/>
            <w:gridSpan w:val="3"/>
            <w:tcBorders>
              <w:top w:val="single" w:sz="4" w:space="0" w:color="5B9BD5" w:themeColor="accent1"/>
              <w:bottom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P: 302+352-305+351+338</w:t>
            </w:r>
          </w:p>
        </w:tc>
      </w:tr>
      <w:tr w:rsidR="00C92D0D" w:rsidRPr="009C5E28" w:rsidTr="00017F5A">
        <w:trPr>
          <w:trHeight w:val="434"/>
        </w:trPr>
        <w:tc>
          <w:tcPr>
            <w:tcW w:w="3027" w:type="dxa"/>
            <w:gridSpan w:val="3"/>
            <w:tcBorders>
              <w:top w:val="single" w:sz="4" w:space="0" w:color="5B9BD5" w:themeColor="accent1"/>
            </w:tcBorders>
            <w:shd w:val="clear" w:color="auto" w:fill="auto"/>
            <w:vAlign w:val="center"/>
          </w:tcPr>
          <w:p w:rsidR="00C92D0D" w:rsidRDefault="00C92D0D" w:rsidP="00017F5A">
            <w:pPr>
              <w:spacing w:after="0" w:line="276" w:lineRule="auto"/>
              <w:jc w:val="center"/>
              <w:rPr>
                <w:color w:val="auto"/>
                <w:sz w:val="20"/>
                <w:szCs w:val="20"/>
              </w:rPr>
            </w:pPr>
            <w:r>
              <w:rPr>
                <w:color w:val="auto"/>
                <w:sz w:val="20"/>
                <w:szCs w:val="20"/>
              </w:rPr>
              <w:t>Mangan(IV)-oxid</w:t>
            </w:r>
          </w:p>
        </w:tc>
        <w:tc>
          <w:tcPr>
            <w:tcW w:w="3177" w:type="dxa"/>
            <w:gridSpan w:val="3"/>
            <w:tcBorders>
              <w:top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H: 272-302+332</w:t>
            </w:r>
          </w:p>
        </w:tc>
        <w:tc>
          <w:tcPr>
            <w:tcW w:w="3118" w:type="dxa"/>
            <w:gridSpan w:val="3"/>
            <w:tcBorders>
              <w:top w:val="single" w:sz="4" w:space="0" w:color="5B9BD5" w:themeColor="accent1"/>
            </w:tcBorders>
            <w:shd w:val="clear" w:color="auto" w:fill="auto"/>
            <w:vAlign w:val="center"/>
          </w:tcPr>
          <w:p w:rsidR="00C92D0D" w:rsidRPr="009C5E28" w:rsidRDefault="00C92D0D" w:rsidP="00017F5A">
            <w:pPr>
              <w:pStyle w:val="Beschriftung"/>
              <w:spacing w:after="0"/>
              <w:jc w:val="center"/>
              <w:rPr>
                <w:sz w:val="20"/>
              </w:rPr>
            </w:pPr>
            <w:r>
              <w:rPr>
                <w:sz w:val="20"/>
              </w:rPr>
              <w:t>P: 221</w:t>
            </w:r>
          </w:p>
        </w:tc>
      </w:tr>
      <w:tr w:rsidR="00C92D0D" w:rsidRPr="009C5E28" w:rsidTr="00017F5A">
        <w:trPr>
          <w:trHeight w:val="851"/>
        </w:trPr>
        <w:tc>
          <w:tcPr>
            <w:tcW w:w="1009" w:type="dxa"/>
            <w:tcBorders>
              <w:top w:val="single" w:sz="8" w:space="0" w:color="4F81BD"/>
              <w:left w:val="single" w:sz="8" w:space="0" w:color="4F81BD"/>
              <w:bottom w:val="single" w:sz="8" w:space="0" w:color="4F81BD"/>
            </w:tcBorders>
            <w:shd w:val="clear" w:color="auto" w:fill="auto"/>
            <w:vAlign w:val="center"/>
          </w:tcPr>
          <w:p w:rsidR="00C92D0D" w:rsidRPr="009C5E28" w:rsidRDefault="00C92D0D" w:rsidP="00017F5A">
            <w:pPr>
              <w:spacing w:after="0"/>
              <w:jc w:val="center"/>
              <w:rPr>
                <w:b/>
                <w:bCs/>
              </w:rPr>
            </w:pPr>
            <w:r>
              <w:rPr>
                <w:b/>
                <w:noProof/>
                <w:lang w:eastAsia="de-DE"/>
              </w:rPr>
              <w:drawing>
                <wp:inline distT="0" distB="0" distL="0" distR="0" wp14:anchorId="64EAC66A" wp14:editId="1DCAAF25">
                  <wp:extent cx="504190" cy="50419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03ADE1BB" wp14:editId="40B97AC1">
                  <wp:extent cx="503555" cy="50355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555" cy="503555"/>
                          </a:xfrm>
                          <a:prstGeom prst="rect">
                            <a:avLst/>
                          </a:prstGeom>
                        </pic:spPr>
                      </pic:pic>
                    </a:graphicData>
                  </a:graphic>
                </wp:inline>
              </w:drawing>
            </w:r>
          </w:p>
        </w:tc>
        <w:tc>
          <w:tcPr>
            <w:tcW w:w="1009"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26A72451" wp14:editId="752907F9">
                  <wp:extent cx="504190" cy="50419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4223BF69" wp14:editId="707304F8">
                  <wp:extent cx="504190" cy="5041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sidRPr="00354A9E">
              <w:rPr>
                <w:noProof/>
                <w:lang w:eastAsia="de-DE"/>
              </w:rPr>
              <w:drawing>
                <wp:inline distT="0" distB="0" distL="0" distR="0" wp14:anchorId="07929888" wp14:editId="1DF24564">
                  <wp:extent cx="581025" cy="581025"/>
                  <wp:effectExtent l="0" t="0" r="0" b="0"/>
                  <wp:docPr id="29" name="Grafik 29" descr="C:\Uni\Master\Praktika\SVP Chemie\Templat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ni\Master\Praktika\SVP Chemie\Template\Piktogramme\Gasflasch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725CD8B4" wp14:editId="6EF26740">
                  <wp:extent cx="504190" cy="50419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646FF7D0" wp14:editId="3682C041">
                  <wp:extent cx="504190" cy="50419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51164159" wp14:editId="5DD5D4F6">
                  <wp:extent cx="511175" cy="51117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C92D0D" w:rsidRPr="009C5E28" w:rsidRDefault="00C92D0D" w:rsidP="00017F5A">
            <w:pPr>
              <w:spacing w:after="0"/>
              <w:jc w:val="center"/>
            </w:pPr>
            <w:r>
              <w:rPr>
                <w:noProof/>
                <w:lang w:eastAsia="de-DE"/>
              </w:rPr>
              <w:drawing>
                <wp:inline distT="0" distB="0" distL="0" distR="0" wp14:anchorId="6F57D534" wp14:editId="179B250D">
                  <wp:extent cx="495300" cy="4953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300" cy="495300"/>
                          </a:xfrm>
                          <a:prstGeom prst="rect">
                            <a:avLst/>
                          </a:prstGeom>
                        </pic:spPr>
                      </pic:pic>
                    </a:graphicData>
                  </a:graphic>
                </wp:inline>
              </w:drawing>
            </w:r>
          </w:p>
        </w:tc>
      </w:tr>
    </w:tbl>
    <w:p w:rsidR="00C92D0D" w:rsidRDefault="00C92D0D" w:rsidP="00C92D0D">
      <w:pPr>
        <w:tabs>
          <w:tab w:val="left" w:pos="1701"/>
          <w:tab w:val="left" w:pos="1985"/>
        </w:tabs>
        <w:ind w:left="1980" w:hanging="1980"/>
      </w:pPr>
    </w:p>
    <w:p w:rsidR="00C92D0D" w:rsidRDefault="00C92D0D" w:rsidP="00C92D0D">
      <w:pPr>
        <w:tabs>
          <w:tab w:val="left" w:pos="1701"/>
          <w:tab w:val="left" w:pos="1985"/>
          <w:tab w:val="left" w:pos="7953"/>
        </w:tabs>
        <w:ind w:left="1980" w:hanging="1980"/>
      </w:pPr>
      <w:r>
        <w:t xml:space="preserve">Materialien: </w:t>
      </w:r>
      <w:r>
        <w:tab/>
      </w:r>
      <w:r>
        <w:tab/>
        <w:t>Mörser und Pistill, feuerfeste Unterlage, Pipette, Spatel</w:t>
      </w:r>
      <w:r>
        <w:tab/>
      </w:r>
    </w:p>
    <w:p w:rsidR="00C92D0D" w:rsidRPr="00ED07C2" w:rsidRDefault="00C92D0D" w:rsidP="00C92D0D">
      <w:pPr>
        <w:tabs>
          <w:tab w:val="left" w:pos="1701"/>
          <w:tab w:val="left" w:pos="1985"/>
        </w:tabs>
        <w:ind w:left="1980" w:hanging="1980"/>
      </w:pPr>
      <w:r>
        <w:t>Chemikalien:</w:t>
      </w:r>
      <w:r>
        <w:tab/>
      </w:r>
      <w:r>
        <w:tab/>
        <w:t>Kaliumpermanganat, Glycerin</w:t>
      </w:r>
    </w:p>
    <w:p w:rsidR="00C92D0D" w:rsidRDefault="00C92D0D" w:rsidP="00C92D0D">
      <w:pPr>
        <w:tabs>
          <w:tab w:val="left" w:pos="1701"/>
          <w:tab w:val="left" w:pos="1985"/>
        </w:tabs>
        <w:ind w:left="1980" w:hanging="1980"/>
      </w:pPr>
      <w:r>
        <w:t xml:space="preserve">Durchführung: </w:t>
      </w:r>
      <w:r>
        <w:tab/>
      </w:r>
      <w:r>
        <w:tab/>
      </w:r>
      <w:r>
        <w:tab/>
        <w:t>Ein Spatel Kaliumpermanganat wird in der Reibschale zu Pulver zerrieben und auf der feuerfesten Unterlage kegelförmig aufgehäuft. Auf diesem Kegel wird eine leichte Kuhle in der Oberfläche geschaffen. In diese werden mit der Pipette vorsichtig wenige Tropfen Glycerin getropft.</w:t>
      </w:r>
    </w:p>
    <w:p w:rsidR="00C92D0D" w:rsidRPr="009A3B4D" w:rsidRDefault="00C92D0D" w:rsidP="00C92D0D">
      <w:pPr>
        <w:jc w:val="right"/>
      </w:pPr>
    </w:p>
    <w:p w:rsidR="00C92D0D" w:rsidRDefault="00C92D0D" w:rsidP="00C92D0D">
      <w:pPr>
        <w:tabs>
          <w:tab w:val="left" w:pos="1701"/>
          <w:tab w:val="left" w:pos="1985"/>
        </w:tabs>
        <w:ind w:left="1980" w:hanging="1980"/>
      </w:pPr>
      <w:r>
        <w:rPr>
          <w:noProof/>
          <w:lang w:eastAsia="de-DE"/>
        </w:rPr>
        <w:lastRenderedPageBreak/>
        <mc:AlternateContent>
          <mc:Choice Requires="wps">
            <w:drawing>
              <wp:anchor distT="0" distB="0" distL="114300" distR="114300" simplePos="0" relativeHeight="251661312" behindDoc="0" locked="0" layoutInCell="1" allowOverlap="1">
                <wp:simplePos x="0" y="0"/>
                <wp:positionH relativeFrom="column">
                  <wp:posOffset>1433830</wp:posOffset>
                </wp:positionH>
                <wp:positionV relativeFrom="paragraph">
                  <wp:posOffset>3325495</wp:posOffset>
                </wp:positionV>
                <wp:extent cx="2884805" cy="394970"/>
                <wp:effectExtent l="0" t="0" r="1270" b="0"/>
                <wp:wrapTopAndBottom/>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2D0D" w:rsidRPr="00BA76D7" w:rsidRDefault="00C92D0D" w:rsidP="00C92D0D">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Violett gefärbte Flamme der Selbstentzündung von Kaliumpermanganat und Glycerin.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feld 2" o:spid="_x0000_s1027" type="#_x0000_t202" style="position:absolute;left:0;text-align:left;margin-left:112.9pt;margin-top:261.85pt;width:227.15pt;height:3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" stroked="f">
                <v:textbox style="mso-fit-shape-to-text:t" inset="0,0,0,0">
                  <w:txbxContent>
                    <w:p w:rsidR="00C92D0D" w:rsidRPr="00BA76D7" w:rsidRDefault="00C92D0D" w:rsidP="00C92D0D">
                      <w:pPr>
                        <w:pStyle w:val="Beschriftung"/>
                        <w:rPr>
                          <w:noProof/>
                          <w:color w:val="171717" w:themeColor="background2" w:themeShade="1A"/>
                        </w:rPr>
                      </w:pPr>
                      <w:r>
                        <w:t xml:space="preserve">Abbildung </w:t>
                      </w:r>
                      <w:r>
                        <w:fldChar w:fldCharType="begin"/>
                      </w:r>
                      <w:r>
                        <w:instrText xml:space="preserve"> SEQ Abbildung \* ARABIC </w:instrText>
                      </w:r>
                      <w:r>
                        <w:fldChar w:fldCharType="separate"/>
                      </w:r>
                      <w:r>
                        <w:rPr>
                          <w:noProof/>
                        </w:rPr>
                        <w:t>1</w:t>
                      </w:r>
                      <w:r>
                        <w:rPr>
                          <w:noProof/>
                        </w:rPr>
                        <w:fldChar w:fldCharType="end"/>
                      </w:r>
                      <w:r>
                        <w:t>: Violett gefärbte Flamme der Selbstentzündung von Kaliumpermanganat und Glycerin.</w:t>
                      </w:r>
                    </w:p>
                  </w:txbxContent>
                </v:textbox>
                <w10:wrap type="topAndBottom"/>
              </v:shape>
            </w:pict>
          </mc:Fallback>
        </mc:AlternateContent>
      </w:r>
      <w:r>
        <w:rPr>
          <w:noProof/>
          <w:lang w:eastAsia="de-DE"/>
        </w:rPr>
        <w:drawing>
          <wp:anchor distT="0" distB="0" distL="114300" distR="114300" simplePos="0" relativeHeight="251659264" behindDoc="0" locked="0" layoutInCell="1" allowOverlap="1" wp14:anchorId="35E932A0" wp14:editId="4E47E1DE">
            <wp:simplePos x="0" y="0"/>
            <wp:positionH relativeFrom="column">
              <wp:posOffset>1433830</wp:posOffset>
            </wp:positionH>
            <wp:positionV relativeFrom="paragraph">
              <wp:posOffset>634365</wp:posOffset>
            </wp:positionV>
            <wp:extent cx="2884805" cy="2633980"/>
            <wp:effectExtent l="0" t="0" r="0" b="0"/>
            <wp:wrapTopAndBottom/>
            <wp:docPr id="27" name="Grafik 27"/>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rotWithShape="1">
                    <a:blip r:embed="rId19" cstate="print">
                      <a:extLst>
                        <a:ext uri="{28A0092B-C50C-407E-A947-70E740481C1C}">
                          <a14:useLocalDpi xmlns:a14="http://schemas.microsoft.com/office/drawing/2010/main" val="0"/>
                        </a:ext>
                      </a:extLst>
                    </a:blip>
                    <a:srcRect l="21473" t="36737" r="36703" b="41781"/>
                    <a:stretch/>
                  </pic:blipFill>
                  <pic:spPr bwMode="auto">
                    <a:xfrm>
                      <a:off x="0" y="0"/>
                      <a:ext cx="2884805" cy="2633980"/>
                    </a:xfrm>
                    <a:prstGeom prst="rect">
                      <a:avLst/>
                    </a:prstGeom>
                    <a:ln>
                      <a:noFill/>
                    </a:ln>
                    <a:extLst>
                      <a:ext uri="{53640926-AAD7-44D8-BBD7-CCE9431645EC}">
                        <a14:shadowObscured xmlns:a14="http://schemas.microsoft.com/office/drawing/2010/main"/>
                      </a:ext>
                    </a:extLst>
                  </pic:spPr>
                </pic:pic>
              </a:graphicData>
            </a:graphic>
          </wp:anchor>
        </w:drawing>
      </w:r>
      <w:r>
        <w:t>Beobachtung:</w:t>
      </w:r>
      <w:r>
        <w:tab/>
      </w:r>
      <w:r>
        <w:tab/>
      </w:r>
      <w:r>
        <w:tab/>
        <w:t>Anfangs ist ein Rauch zu sehen, dann glüht die Substanz auf und eine violette Flamme entsteht.</w:t>
      </w:r>
    </w:p>
    <w:p w:rsidR="00C92D0D" w:rsidRPr="00AC4952" w:rsidRDefault="00C92D0D" w:rsidP="00C92D0D">
      <w:pPr>
        <w:tabs>
          <w:tab w:val="left" w:pos="1701"/>
          <w:tab w:val="left" w:pos="1985"/>
        </w:tabs>
        <w:ind w:left="1980" w:hanging="1980"/>
        <w:rPr>
          <w:sz w:val="20"/>
          <w:szCs w:val="20"/>
        </w:rPr>
      </w:pPr>
      <w:r>
        <w:rPr>
          <w:rFonts w:cs="Utsaah"/>
        </w:rPr>
        <w:t>Deutung</w:t>
      </w:r>
      <w:r>
        <w:t>:</w:t>
      </w:r>
      <w:r>
        <w:tab/>
      </w:r>
      <w:r>
        <w:tab/>
      </w:r>
      <w:r>
        <w:tab/>
        <w:t>Glycerin</w:t>
      </w:r>
      <w:r w:rsidRPr="00944919">
        <w:t xml:space="preserve"> </w:t>
      </w:r>
      <w:r>
        <w:t>wird durch Kaliumpermanganat</w:t>
      </w:r>
      <w:r w:rsidRPr="00944919">
        <w:t xml:space="preserve"> </w:t>
      </w:r>
      <w:r>
        <w:t>oxidiert. Dabei entstehen Kohlenstoffdioxid, Braunstein, Kaliumoxid und Wasser. Es handelt sich um eine exotherme Reaktion, d.h. es kommt zu starker Wärmeentwicklung. Wenn die Zündtemperatur überschritten ist, folgt die Selbstentzündung. Die vio</w:t>
      </w:r>
      <w:r w:rsidRPr="00AC4952">
        <w:rPr>
          <w:sz w:val="20"/>
          <w:szCs w:val="20"/>
        </w:rPr>
        <w:t xml:space="preserve">lette Färbung weist darauf hin, dass Kalium verbrennt. </w:t>
      </w:r>
    </w:p>
    <w:p w:rsidR="00C92D0D" w:rsidRDefault="00C92D0D" w:rsidP="00C92D0D">
      <w:pPr>
        <w:tabs>
          <w:tab w:val="left" w:pos="1701"/>
          <w:tab w:val="left" w:pos="1985"/>
        </w:tabs>
        <w:spacing w:after="0"/>
        <w:ind w:left="1980" w:hanging="1980"/>
        <w:rPr>
          <w:rFonts w:eastAsiaTheme="minorEastAsia"/>
        </w:rPr>
      </w:pPr>
      <w:r w:rsidRPr="00AC4952">
        <w:rPr>
          <w:sz w:val="20"/>
          <w:szCs w:val="20"/>
        </w:rPr>
        <w:tab/>
      </w:r>
      <w:r w:rsidRPr="00AC4952">
        <w:rPr>
          <w:sz w:val="20"/>
          <w:szCs w:val="20"/>
        </w:rPr>
        <w:tab/>
      </w:r>
      <m:oMath>
        <m:sSub>
          <m:sSubPr>
            <m:ctrlPr>
              <w:rPr>
                <w:rFonts w:ascii="Cambria Math" w:hAnsi="Cambria Math"/>
                <w:sz w:val="20"/>
                <w:szCs w:val="20"/>
              </w:rPr>
            </m:ctrlPr>
          </m:sSubPr>
          <m:e>
            <m:r>
              <w:rPr>
                <w:rFonts w:ascii="Cambria Math" w:hAnsi="Cambria Math"/>
                <w:sz w:val="20"/>
                <w:szCs w:val="20"/>
              </w:rPr>
              <m:t xml:space="preserve">3 </m:t>
            </m:r>
            <m:sSub>
              <m:sSubPr>
                <m:ctrlPr>
                  <w:rPr>
                    <w:rFonts w:ascii="Cambria Math" w:hAnsi="Cambria Math"/>
                    <w:sz w:val="20"/>
                    <w:szCs w:val="20"/>
                  </w:rPr>
                </m:ctrlPr>
              </m:sSubPr>
              <m:e>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3</m:t>
                        </m:r>
                      </m:sub>
                    </m:sSub>
                    <m:r>
                      <m:rPr>
                        <m:sty m:val="p"/>
                      </m:rPr>
                      <w:rPr>
                        <w:rFonts w:ascii="Cambria Math" w:hAnsi="Cambria Math"/>
                        <w:sz w:val="20"/>
                        <w:szCs w:val="20"/>
                      </w:rPr>
                      <m:t>H</m:t>
                    </m:r>
                  </m:e>
                  <m:sub>
                    <m:r>
                      <m:rPr>
                        <m:sty m:val="p"/>
                      </m:rPr>
                      <w:rPr>
                        <w:rFonts w:ascii="Cambria Math" w:hAnsi="Cambria Math"/>
                        <w:sz w:val="20"/>
                        <w:szCs w:val="20"/>
                      </w:rPr>
                      <m:t>8</m:t>
                    </m:r>
                  </m:sub>
                </m:sSub>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3</m:t>
                    </m:r>
                  </m:sub>
                </m:sSub>
                <m:r>
                  <w:rPr>
                    <w:rFonts w:ascii="Cambria Math" w:hAnsi="Cambria Math"/>
                    <w:sz w:val="20"/>
                    <w:szCs w:val="20"/>
                  </w:rPr>
                  <m:t xml:space="preserve"> </m:t>
                </m:r>
              </m:e>
              <m:sub>
                <m:r>
                  <m:rPr>
                    <m:sty m:val="p"/>
                  </m:rPr>
                  <w:rPr>
                    <w:rFonts w:ascii="Cambria Math" w:hAnsi="Cambria Math"/>
                    <w:sz w:val="20"/>
                    <w:szCs w:val="20"/>
                  </w:rPr>
                  <m:t>(l)</m:t>
                </m:r>
              </m:sub>
            </m:sSub>
            <m:r>
              <m:rPr>
                <m:sty m:val="p"/>
              </m:rPr>
              <w:rPr>
                <w:rFonts w:ascii="Cambria Math" w:hAnsi="Cambria Math"/>
                <w:sz w:val="20"/>
                <w:szCs w:val="20"/>
              </w:rPr>
              <m:t xml:space="preserve">+14 </m:t>
            </m:r>
            <m:sSub>
              <m:sSubPr>
                <m:ctrlPr>
                  <w:rPr>
                    <w:rFonts w:ascii="Cambria Math" w:hAnsi="Cambria Math"/>
                    <w:sz w:val="20"/>
                    <w:szCs w:val="20"/>
                  </w:rPr>
                </m:ctrlPr>
              </m:sSubPr>
              <m:e>
                <m:r>
                  <m:rPr>
                    <m:sty m:val="p"/>
                  </m:rPr>
                  <w:rPr>
                    <w:rFonts w:ascii="Cambria Math" w:hAnsi="Cambria Math"/>
                    <w:sz w:val="20"/>
                    <w:szCs w:val="20"/>
                  </w:rPr>
                  <m:t>KMnO</m:t>
                </m:r>
              </m:e>
              <m:sub>
                <m:r>
                  <m:rPr>
                    <m:sty m:val="p"/>
                  </m:rPr>
                  <w:rPr>
                    <w:rFonts w:ascii="Cambria Math" w:hAnsi="Cambria Math"/>
                    <w:sz w:val="20"/>
                    <w:szCs w:val="20"/>
                  </w:rPr>
                  <m:t>4</m:t>
                </m:r>
              </m:sub>
            </m:sSub>
            <m:r>
              <m:rPr>
                <m:sty m:val="p"/>
              </m:rPr>
              <w:rPr>
                <w:rFonts w:ascii="Cambria Math" w:hAnsi="Cambria Math"/>
                <w:sz w:val="20"/>
                <w:szCs w:val="20"/>
              </w:rPr>
              <m:t xml:space="preserve"> </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12 H</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O </m:t>
            </m:r>
          </m:e>
          <m:sub>
            <m:r>
              <m:rPr>
                <m:sty m:val="p"/>
              </m:rPr>
              <w:rPr>
                <w:rFonts w:ascii="Cambria Math" w:hAnsi="Cambria Math"/>
                <w:sz w:val="20"/>
                <w:szCs w:val="20"/>
              </w:rPr>
              <m:t>(g)</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9 CO</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 </m:t>
            </m:r>
          </m:e>
          <m:sub>
            <m:r>
              <m:rPr>
                <m:sty m:val="p"/>
              </m:rPr>
              <w:rPr>
                <w:rFonts w:ascii="Cambria Math" w:hAnsi="Cambria Math"/>
                <w:sz w:val="20"/>
                <w:szCs w:val="20"/>
              </w:rPr>
              <m:t>(g)</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7 K</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O </m:t>
            </m:r>
          </m:e>
          <m:sub>
            <m:r>
              <m:rPr>
                <m:sty m:val="p"/>
              </m:rPr>
              <w:rPr>
                <w:rFonts w:ascii="Cambria Math" w:hAnsi="Cambria Math"/>
                <w:sz w:val="20"/>
                <w:szCs w:val="20"/>
              </w:rPr>
              <m:t>(s)</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14 Mn</m:t>
                </m:r>
                <m:r>
                  <m:rPr>
                    <m:sty m:val="p"/>
                  </m:rPr>
                  <w:rPr>
                    <w:rFonts w:ascii="Cambria Math" w:hAnsi="Cambria Math"/>
                    <w:sz w:val="20"/>
                    <w:szCs w:val="20"/>
                  </w:rPr>
                  <m:t>O</m:t>
                </m:r>
              </m:e>
              <m:sub>
                <m:r>
                  <m:rPr>
                    <m:sty m:val="p"/>
                  </m:rPr>
                  <w:rPr>
                    <w:rFonts w:ascii="Cambria Math" w:hAnsi="Cambria Math"/>
                    <w:sz w:val="20"/>
                    <w:szCs w:val="20"/>
                  </w:rPr>
                  <m:t>2</m:t>
                </m:r>
              </m:sub>
            </m:sSub>
          </m:e>
          <m:sub>
            <m:r>
              <w:rPr>
                <w:rFonts w:ascii="Cambria Math" w:hAnsi="Cambria Math"/>
                <w:sz w:val="20"/>
                <w:szCs w:val="20"/>
              </w:rPr>
              <m:t>(s)</m:t>
            </m:r>
          </m:sub>
        </m:sSub>
      </m:oMath>
      <w:r>
        <w:rPr>
          <w:rFonts w:eastAsiaTheme="minorEastAsia"/>
        </w:rPr>
        <w:t>.</w:t>
      </w:r>
    </w:p>
    <w:p w:rsidR="00C92D0D" w:rsidRDefault="00C92D0D" w:rsidP="00C92D0D">
      <w:pPr>
        <w:tabs>
          <w:tab w:val="left" w:pos="1701"/>
          <w:tab w:val="left" w:pos="1985"/>
        </w:tabs>
        <w:ind w:left="1980" w:hanging="1980"/>
      </w:pPr>
      <w:r>
        <w:tab/>
      </w:r>
      <w:r>
        <w:tab/>
        <w:t>Kaliumoxid reagiert direkt mit Kohlenstoffdioxid zu Kaliumcarbonat:</w:t>
      </w:r>
    </w:p>
    <w:p w:rsidR="00C92D0D" w:rsidRDefault="00C92D0D" w:rsidP="00C92D0D">
      <w:pPr>
        <w:tabs>
          <w:tab w:val="left" w:pos="1701"/>
          <w:tab w:val="left" w:pos="1985"/>
        </w:tabs>
        <w:ind w:left="1980" w:hanging="1980"/>
      </w:pPr>
      <w:r w:rsidRPr="00AC4952">
        <w:rPr>
          <w:sz w:val="20"/>
          <w:szCs w:val="20"/>
        </w:rPr>
        <w:tab/>
      </w:r>
      <w:r>
        <w:rPr>
          <w:sz w:val="20"/>
          <w:szCs w:val="20"/>
        </w:rPr>
        <w:tab/>
        <w:t xml:space="preserve">3 </w:t>
      </w:r>
      <m:oMath>
        <m:sSub>
          <m:sSubPr>
            <m:ctrlPr>
              <w:rPr>
                <w:rFonts w:ascii="Cambria Math" w:hAnsi="Cambria Math"/>
                <w:sz w:val="20"/>
                <w:szCs w:val="20"/>
              </w:rPr>
            </m:ctrlPr>
          </m:sSubPr>
          <m:e>
            <m:sSub>
              <m:sSubPr>
                <m:ctrlPr>
                  <w:rPr>
                    <w:rFonts w:ascii="Cambria Math" w:hAnsi="Cambria Math"/>
                    <w:sz w:val="20"/>
                    <w:szCs w:val="20"/>
                  </w:rPr>
                </m:ctrlPr>
              </m:sSubPr>
              <m:e>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C</m:t>
                        </m:r>
                      </m:e>
                      <m:sub>
                        <m:r>
                          <m:rPr>
                            <m:sty m:val="p"/>
                          </m:rPr>
                          <w:rPr>
                            <w:rFonts w:ascii="Cambria Math" w:hAnsi="Cambria Math"/>
                            <w:sz w:val="20"/>
                            <w:szCs w:val="20"/>
                          </w:rPr>
                          <m:t>3</m:t>
                        </m:r>
                      </m:sub>
                    </m:sSub>
                    <m:r>
                      <m:rPr>
                        <m:sty m:val="p"/>
                      </m:rPr>
                      <w:rPr>
                        <w:rFonts w:ascii="Cambria Math" w:hAnsi="Cambria Math"/>
                        <w:sz w:val="20"/>
                        <w:szCs w:val="20"/>
                      </w:rPr>
                      <m:t>H</m:t>
                    </m:r>
                  </m:e>
                  <m:sub>
                    <m:r>
                      <m:rPr>
                        <m:sty m:val="p"/>
                      </m:rPr>
                      <w:rPr>
                        <w:rFonts w:ascii="Cambria Math" w:hAnsi="Cambria Math"/>
                        <w:sz w:val="20"/>
                        <w:szCs w:val="20"/>
                      </w:rPr>
                      <m:t>8</m:t>
                    </m:r>
                  </m:sub>
                </m:sSub>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3</m:t>
                    </m:r>
                  </m:sub>
                </m:sSub>
                <m:r>
                  <w:rPr>
                    <w:rFonts w:ascii="Cambria Math" w:hAnsi="Cambria Math"/>
                    <w:sz w:val="20"/>
                    <w:szCs w:val="20"/>
                  </w:rPr>
                  <m:t xml:space="preserve"> </m:t>
                </m:r>
              </m:e>
              <m:sub>
                <m:r>
                  <m:rPr>
                    <m:sty m:val="p"/>
                  </m:rPr>
                  <w:rPr>
                    <w:rFonts w:ascii="Cambria Math" w:hAnsi="Cambria Math"/>
                    <w:sz w:val="20"/>
                    <w:szCs w:val="20"/>
                  </w:rPr>
                  <m:t>(l)</m:t>
                </m:r>
              </m:sub>
            </m:sSub>
            <m:r>
              <m:rPr>
                <m:sty m:val="p"/>
              </m:rPr>
              <w:rPr>
                <w:rFonts w:ascii="Cambria Math" w:hAnsi="Cambria Math"/>
                <w:sz w:val="20"/>
                <w:szCs w:val="20"/>
              </w:rPr>
              <m:t xml:space="preserve">+14 </m:t>
            </m:r>
            <m:sSub>
              <m:sSubPr>
                <m:ctrlPr>
                  <w:rPr>
                    <w:rFonts w:ascii="Cambria Math" w:hAnsi="Cambria Math"/>
                    <w:sz w:val="20"/>
                    <w:szCs w:val="20"/>
                  </w:rPr>
                </m:ctrlPr>
              </m:sSubPr>
              <m:e>
                <m:r>
                  <m:rPr>
                    <m:sty m:val="p"/>
                  </m:rPr>
                  <w:rPr>
                    <w:rFonts w:ascii="Cambria Math" w:hAnsi="Cambria Math"/>
                    <w:sz w:val="20"/>
                    <w:szCs w:val="20"/>
                  </w:rPr>
                  <m:t>KMnO</m:t>
                </m:r>
              </m:e>
              <m:sub>
                <m:r>
                  <m:rPr>
                    <m:sty m:val="p"/>
                  </m:rPr>
                  <w:rPr>
                    <w:rFonts w:ascii="Cambria Math" w:hAnsi="Cambria Math"/>
                    <w:sz w:val="20"/>
                    <w:szCs w:val="20"/>
                  </w:rPr>
                  <m:t>4</m:t>
                </m:r>
              </m:sub>
            </m:sSub>
            <m:r>
              <m:rPr>
                <m:sty m:val="p"/>
              </m:rPr>
              <w:rPr>
                <w:rFonts w:ascii="Cambria Math" w:hAnsi="Cambria Math"/>
                <w:sz w:val="20"/>
                <w:szCs w:val="20"/>
              </w:rPr>
              <m:t xml:space="preserve"> </m:t>
            </m:r>
          </m:e>
          <m:sub>
            <m:r>
              <w:rPr>
                <w:rFonts w:ascii="Cambria Math" w:hAnsi="Cambria Math"/>
                <w:sz w:val="20"/>
                <w:szCs w:val="20"/>
              </w:rPr>
              <m:t>(s)</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12 H</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O </m:t>
            </m:r>
          </m:e>
          <m:sub>
            <m:r>
              <m:rPr>
                <m:sty m:val="p"/>
              </m:rPr>
              <w:rPr>
                <w:rFonts w:ascii="Cambria Math" w:hAnsi="Cambria Math"/>
                <w:sz w:val="20"/>
                <w:szCs w:val="20"/>
              </w:rPr>
              <m:t>(g)</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2 CO</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 xml:space="preserve"> </m:t>
            </m:r>
          </m:e>
          <m:sub>
            <m:r>
              <m:rPr>
                <m:sty m:val="p"/>
              </m:rPr>
              <w:rPr>
                <w:rFonts w:ascii="Cambria Math" w:hAnsi="Cambria Math"/>
                <w:sz w:val="20"/>
                <w:szCs w:val="20"/>
              </w:rPr>
              <m:t>(g)</m:t>
            </m:r>
          </m:sub>
        </m:sSub>
        <m: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7 K</m:t>
            </m:r>
          </m:e>
          <m:sub>
            <m:r>
              <m:rPr>
                <m:sty m:val="p"/>
              </m:rPr>
              <w:rPr>
                <w:rFonts w:ascii="Cambria Math" w:hAnsi="Cambria Math"/>
                <w:sz w:val="20"/>
                <w:szCs w:val="20"/>
              </w:rPr>
              <m:t>2</m:t>
            </m:r>
          </m:sub>
        </m:sSub>
        <m:sSub>
          <m:sSubPr>
            <m:ctrlPr>
              <w:rPr>
                <w:rFonts w:ascii="Cambria Math" w:hAnsi="Cambria Math"/>
                <w:sz w:val="20"/>
                <w:szCs w:val="20"/>
              </w:rPr>
            </m:ctrlPr>
          </m:sSubPr>
          <m:e>
            <m:sSub>
              <m:sSubPr>
                <m:ctrlPr>
                  <w:rPr>
                    <w:rFonts w:ascii="Cambria Math" w:hAnsi="Cambria Math"/>
                    <w:sz w:val="20"/>
                    <w:szCs w:val="20"/>
                  </w:rPr>
                </m:ctrlPr>
              </m:sSubPr>
              <m:e>
                <m:r>
                  <m:rPr>
                    <m:sty m:val="p"/>
                  </m:rPr>
                  <w:rPr>
                    <w:rFonts w:ascii="Cambria Math" w:hAnsi="Cambria Math"/>
                    <w:sz w:val="20"/>
                    <w:szCs w:val="20"/>
                  </w:rPr>
                  <m:t>CO</m:t>
                </m:r>
              </m:e>
              <m:sub>
                <m:r>
                  <m:rPr>
                    <m:sty m:val="p"/>
                  </m:rPr>
                  <w:rPr>
                    <w:rFonts w:ascii="Cambria Math" w:hAnsi="Cambria Math"/>
                    <w:sz w:val="20"/>
                    <w:szCs w:val="20"/>
                  </w:rPr>
                  <m:t>3</m:t>
                </m:r>
              </m:sub>
            </m:sSub>
            <m:r>
              <w:rPr>
                <w:rFonts w:ascii="Cambria Math" w:hAnsi="Cambria Math"/>
                <w:sz w:val="20"/>
                <w:szCs w:val="20"/>
              </w:rPr>
              <m:t xml:space="preserve"> </m:t>
            </m:r>
          </m:e>
          <m:sub>
            <m:r>
              <m:rPr>
                <m:sty m:val="p"/>
              </m:rPr>
              <w:rPr>
                <w:rFonts w:ascii="Cambria Math" w:hAnsi="Cambria Math"/>
                <w:sz w:val="20"/>
                <w:szCs w:val="20"/>
              </w:rPr>
              <m:t>(s)</m:t>
            </m:r>
          </m:sub>
        </m:sSub>
        <m:r>
          <w:rPr>
            <w:rFonts w:ascii="Cambria Math" w:hAnsi="Cambria Math"/>
            <w:sz w:val="20"/>
            <w:szCs w:val="20"/>
          </w:rPr>
          <m:t>+</m:t>
        </m:r>
        <m:sSub>
          <m:sSubPr>
            <m:ctrlPr>
              <w:rPr>
                <w:rFonts w:ascii="Cambria Math" w:hAnsi="Cambria Math"/>
                <w:sz w:val="20"/>
                <w:szCs w:val="20"/>
              </w:rPr>
            </m:ctrlPr>
          </m:sSubPr>
          <m:e>
            <m:sSub>
              <m:sSubPr>
                <m:ctrlPr>
                  <w:rPr>
                    <w:rFonts w:ascii="Cambria Math" w:hAnsi="Cambria Math"/>
                    <w:sz w:val="20"/>
                    <w:szCs w:val="20"/>
                  </w:rPr>
                </m:ctrlPr>
              </m:sSubPr>
              <m:e>
                <m:r>
                  <w:rPr>
                    <w:rFonts w:ascii="Cambria Math" w:hAnsi="Cambria Math"/>
                    <w:sz w:val="20"/>
                    <w:szCs w:val="20"/>
                  </w:rPr>
                  <m:t>14 Mn</m:t>
                </m:r>
                <m:r>
                  <m:rPr>
                    <m:sty m:val="p"/>
                  </m:rPr>
                  <w:rPr>
                    <w:rFonts w:ascii="Cambria Math" w:hAnsi="Cambria Math"/>
                    <w:sz w:val="20"/>
                    <w:szCs w:val="20"/>
                  </w:rPr>
                  <m:t>O</m:t>
                </m:r>
              </m:e>
              <m:sub>
                <m:r>
                  <m:rPr>
                    <m:sty m:val="p"/>
                  </m:rPr>
                  <w:rPr>
                    <w:rFonts w:ascii="Cambria Math" w:hAnsi="Cambria Math"/>
                    <w:sz w:val="20"/>
                    <w:szCs w:val="20"/>
                  </w:rPr>
                  <m:t>2</m:t>
                </m:r>
              </m:sub>
            </m:sSub>
          </m:e>
          <m:sub>
            <m:r>
              <w:rPr>
                <w:rFonts w:ascii="Cambria Math" w:hAnsi="Cambria Math"/>
                <w:sz w:val="20"/>
                <w:szCs w:val="20"/>
              </w:rPr>
              <m:t>(s)</m:t>
            </m:r>
          </m:sub>
        </m:sSub>
      </m:oMath>
      <w:r>
        <w:rPr>
          <w:rFonts w:eastAsiaTheme="minorEastAsia"/>
        </w:rPr>
        <w:t>.</w:t>
      </w:r>
    </w:p>
    <w:p w:rsidR="00C92D0D" w:rsidRDefault="00C92D0D" w:rsidP="00C92D0D">
      <w:pPr>
        <w:tabs>
          <w:tab w:val="left" w:pos="1701"/>
          <w:tab w:val="left" w:pos="1985"/>
        </w:tabs>
        <w:ind w:left="1980" w:hanging="1980"/>
        <w:jc w:val="left"/>
        <w:rPr>
          <w:color w:val="auto"/>
        </w:rPr>
      </w:pPr>
      <w:r>
        <w:t>Literatur:</w:t>
      </w:r>
      <w:r>
        <w:tab/>
      </w:r>
      <w:r>
        <w:tab/>
      </w:r>
      <w:r>
        <w:rPr>
          <w:color w:val="auto"/>
        </w:rPr>
        <w:t xml:space="preserve">H. </w:t>
      </w:r>
      <w:proofErr w:type="spellStart"/>
      <w:r>
        <w:rPr>
          <w:color w:val="auto"/>
        </w:rPr>
        <w:t>Schmidkunz</w:t>
      </w:r>
      <w:proofErr w:type="spellEnd"/>
      <w:r>
        <w:rPr>
          <w:color w:val="auto"/>
        </w:rPr>
        <w:t xml:space="preserve">, Chemische Freihandversuche, Kleine Versuche mit großer Wirkung, </w:t>
      </w:r>
      <w:proofErr w:type="spellStart"/>
      <w:r>
        <w:rPr>
          <w:color w:val="auto"/>
        </w:rPr>
        <w:t>Aulis</w:t>
      </w:r>
      <w:proofErr w:type="spellEnd"/>
      <w:r>
        <w:rPr>
          <w:color w:val="auto"/>
        </w:rPr>
        <w:t xml:space="preserve"> Verlag, 2011, S. 70.</w:t>
      </w:r>
    </w:p>
    <w:p w:rsidR="00792833" w:rsidRDefault="00C92D0D" w:rsidP="00C92D0D">
      <w:r>
        <w:rPr>
          <w:noProof/>
          <w:lang w:eastAsia="de-DE"/>
        </w:rPr>
        <mc:AlternateContent>
          <mc:Choice Requires="wps">
            <w:drawing>
              <wp:inline distT="0" distB="0" distL="0" distR="0">
                <wp:extent cx="5873115" cy="1800225"/>
                <wp:effectExtent l="0" t="0" r="13335" b="2857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8002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92D0D" w:rsidRDefault="00C92D0D" w:rsidP="00C92D0D">
                            <w:pPr>
                              <w:spacing w:after="0"/>
                              <w:rPr>
                                <w:color w:val="auto"/>
                              </w:rPr>
                            </w:pPr>
                            <w:r>
                              <w:rPr>
                                <w:color w:val="auto"/>
                              </w:rPr>
                              <w:t>Das Experiment kann im Einstieg als Überraschungsexperiment eingesetzt werden. Der Begriff Aktivierungsenergie kann eingeführt werden, da zur Selbstentzündung die freiwerdende Wärmeenergie notwendig ist. Anschließend kann besprochen werden, inwiefern sich der Energiegehalt der beteiligten Systeme verändert hat.</w:t>
                            </w:r>
                          </w:p>
                          <w:p w:rsidR="00C92D0D" w:rsidRPr="00F31EBF" w:rsidRDefault="00C92D0D" w:rsidP="00C92D0D">
                            <w:pPr>
                              <w:rPr>
                                <w:color w:val="auto"/>
                              </w:rPr>
                            </w:pPr>
                            <w:r>
                              <w:rPr>
                                <w:color w:val="auto"/>
                              </w:rPr>
                              <w:t xml:space="preserve"> Es ist zu beachten, dass wasserfreies Glycerin eingesetzt wird, da der Versuch sonst misslingt. Sollte dieser Versuch von </w:t>
                            </w:r>
                            <w:proofErr w:type="spellStart"/>
                            <w:r>
                              <w:rPr>
                                <w:color w:val="auto"/>
                              </w:rPr>
                              <w:t>SuS</w:t>
                            </w:r>
                            <w:proofErr w:type="spellEnd"/>
                            <w:r>
                              <w:rPr>
                                <w:color w:val="auto"/>
                              </w:rPr>
                              <w:t xml:space="preserve"> durchgeführt werden, sollte nur ein Tropfen Glycerin hinzugegeben werden. Der Reaktionseintritt kann einen Moment dauern.</w:t>
                            </w:r>
                          </w:p>
                          <w:p w:rsidR="00C92D0D" w:rsidRPr="00F31EBF" w:rsidRDefault="00C92D0D" w:rsidP="00C92D0D">
                            <w:pPr>
                              <w:rPr>
                                <w:color w:val="auto"/>
                              </w:rPr>
                            </w:pP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" fillcolor="white [3201]" strokecolor="#ed7d31 [3205]" strokeweight="1pt">
                <v:stroke dashstyle="dash"/>
                <v:shadow color="#868686"/>
                <v:textbox>
                  <w:txbxContent>
                    <w:p w:rsidR="00C92D0D" w:rsidRDefault="00C92D0D" w:rsidP="00C92D0D">
                      <w:pPr>
                        <w:spacing w:after="0"/>
                        <w:rPr>
                          <w:color w:val="auto"/>
                        </w:rPr>
                      </w:pPr>
                      <w:r>
                        <w:rPr>
                          <w:color w:val="auto"/>
                        </w:rPr>
                        <w:t>Das Experiment kann im Einstieg als Überraschungsexperiment eingesetzt werden. Der Begriff Aktivierungsenergie kann eingeführt werden, da zur Selbstentzündung die freiwerdende Wärmeenergie notwendig ist. Anschließend kann besprochen werden, inwiefern sich der Energiegehalt der beteiligten Systeme verändert hat.</w:t>
                      </w:r>
                    </w:p>
                    <w:p w:rsidR="00C92D0D" w:rsidRPr="00F31EBF" w:rsidRDefault="00C92D0D" w:rsidP="00C92D0D">
                      <w:pPr>
                        <w:rPr>
                          <w:color w:val="auto"/>
                        </w:rPr>
                      </w:pPr>
                      <w:r>
                        <w:rPr>
                          <w:color w:val="auto"/>
                        </w:rPr>
                        <w:t xml:space="preserve"> Es ist zu beachten, dass wasserfreies Glycerin eingesetzt wird, da der Versuch sonst misslingt. Sollte dieser Versuch von </w:t>
                      </w:r>
                      <w:proofErr w:type="spellStart"/>
                      <w:r>
                        <w:rPr>
                          <w:color w:val="auto"/>
                        </w:rPr>
                        <w:t>SuS</w:t>
                      </w:r>
                      <w:proofErr w:type="spellEnd"/>
                      <w:r>
                        <w:rPr>
                          <w:color w:val="auto"/>
                        </w:rPr>
                        <w:t xml:space="preserve"> durchgeführt werden, sollte nur ein Tropfen Glycerin hinzugegeben werden. Der Reaktionseintritt kann einen Moment dauern.</w:t>
                      </w:r>
                    </w:p>
                    <w:p w:rsidR="00C92D0D" w:rsidRPr="00F31EBF" w:rsidRDefault="00C92D0D" w:rsidP="00C92D0D">
                      <w:pPr>
                        <w:rPr>
                          <w:color w:val="auto"/>
                        </w:rPr>
                      </w:pPr>
                    </w:p>
                  </w:txbxContent>
                </v:textbox>
                <w10:anchorlock/>
              </v:shape>
            </w:pict>
          </mc:Fallback>
        </mc:AlternateContent>
      </w:r>
    </w:p>
    <w:sectPr w:rsidR="00792833">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Utsaah">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7FD"/>
    <w:rsid w:val="00792833"/>
    <w:rsid w:val="00B037FD"/>
    <w:rsid w:val="00C92D0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701D166-6610-4096-AF81-06F7AC910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92D0D"/>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C92D0D"/>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C92D0D"/>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C92D0D"/>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C92D0D"/>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C92D0D"/>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C92D0D"/>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C92D0D"/>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92D0D"/>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92D0D"/>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92D0D"/>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C92D0D"/>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C92D0D"/>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C92D0D"/>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C92D0D"/>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C92D0D"/>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C92D0D"/>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C92D0D"/>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92D0D"/>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C92D0D"/>
    <w:pPr>
      <w:spacing w:line="240" w:lineRule="auto"/>
    </w:pPr>
    <w:rPr>
      <w:bCs/>
      <w:color w:val="auto"/>
      <w:sz w:val="18"/>
      <w:szCs w:val="18"/>
    </w:rPr>
  </w:style>
  <w:style w:type="character" w:styleId="Hyperlink">
    <w:name w:val="Hyperlink"/>
    <w:basedOn w:val="Absatz-Standardschriftart"/>
    <w:uiPriority w:val="99"/>
    <w:unhideWhenUsed/>
    <w:rsid w:val="00C92D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e.wikipedia.org/wiki/H-_und_P-S%C3%A4tze"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de.wikipedia.org/wiki/H-_und_P-S%C3%A4tze"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e.wikipedia.org/wiki/H-_und_P-S%C3%A4tze" TargetMode="External"/><Relationship Id="rId11" Type="http://schemas.openxmlformats.org/officeDocument/2006/relationships/image" Target="media/image2.png"/><Relationship Id="rId5" Type="http://schemas.openxmlformats.org/officeDocument/2006/relationships/hyperlink" Target="http://de.wikipedia.org/wiki/H-_und_P-S%C3%A4tze" TargetMode="Externa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de.wikipedia.org/wiki/H-_und_P-S%C3%A4tz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1844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dc:creator>
  <cp:keywords/>
  <dc:description/>
  <cp:lastModifiedBy>Vera</cp:lastModifiedBy>
  <cp:revision>2</cp:revision>
  <cp:lastPrinted>2016-08-08T15:42:00Z</cp:lastPrinted>
  <dcterms:created xsi:type="dcterms:W3CDTF">2016-08-08T15:41:00Z</dcterms:created>
  <dcterms:modified xsi:type="dcterms:W3CDTF">2016-08-08T15:42:00Z</dcterms:modified>
</cp:coreProperties>
</file>