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57908928"/>
    <w:p w:rsidR="00993875" w:rsidRDefault="00993875" w:rsidP="00993875">
      <w:pPr>
        <w:pStyle w:val="berschrift1"/>
        <w:numPr>
          <w:ilvl w:val="0"/>
          <w:numId w:val="0"/>
        </w:numPr>
        <w:ind w:left="432" w:hanging="432"/>
      </w:pPr>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562610</wp:posOffset>
                </wp:positionV>
                <wp:extent cx="5873115" cy="1264285"/>
                <wp:effectExtent l="8255" t="14605" r="14605" b="6985"/>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6428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3875" w:rsidRDefault="00993875" w:rsidP="00993875">
                            <w:pPr>
                              <w:spacing w:after="0"/>
                              <w:rPr>
                                <w:color w:val="auto"/>
                              </w:rPr>
                            </w:pPr>
                            <w:r>
                              <w:rPr>
                                <w:color w:val="auto"/>
                              </w:rPr>
                              <w:t xml:space="preserve">Durch diesen Versuch sollen die </w:t>
                            </w:r>
                            <w:proofErr w:type="spellStart"/>
                            <w:r>
                              <w:rPr>
                                <w:color w:val="auto"/>
                              </w:rPr>
                              <w:t>SuS</w:t>
                            </w:r>
                            <w:proofErr w:type="spellEnd"/>
                            <w:r>
                              <w:rPr>
                                <w:color w:val="auto"/>
                              </w:rPr>
                              <w:t xml:space="preserve"> die entzündliche Wirkung von Wasser, das sie als Löschmittel kennenlernten, erfahren. Sie lernen, dass nicht nur eine Flamme ein Feuer starten kann. Der Versuch kann also einen kognitiven Konflikt bezüglich dieser Fehlvorstellung wecken.</w:t>
                            </w:r>
                          </w:p>
                          <w:p w:rsidR="00993875" w:rsidRDefault="00993875" w:rsidP="00993875">
                            <w:pPr>
                              <w:rPr>
                                <w:color w:val="auto"/>
                              </w:rPr>
                            </w:pPr>
                            <w:r>
                              <w:rPr>
                                <w:color w:val="auto"/>
                              </w:rPr>
                              <w:t xml:space="preserve">Die </w:t>
                            </w:r>
                            <w:proofErr w:type="spellStart"/>
                            <w:r>
                              <w:rPr>
                                <w:color w:val="auto"/>
                              </w:rPr>
                              <w:t>Sus</w:t>
                            </w:r>
                            <w:proofErr w:type="spellEnd"/>
                            <w:r>
                              <w:rPr>
                                <w:color w:val="auto"/>
                              </w:rPr>
                              <w:t xml:space="preserve"> müssen die Begriffe Aktivierungsenergie und Katalysator erklären können, außerdem müssen sie erkennen, dass eine exotherme Reaktion abläuft, da Wärmeenergie frei wird.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left:0;text-align:left;margin-left:-3.45pt;margin-top:44.3pt;width:462.45pt;height:9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" fillcolor="white [3201]" strokecolor="#4472c4 [3208]" strokeweight="1pt">
                <v:stroke dashstyle="dash"/>
                <v:shadow color="#868686"/>
                <v:textbox>
                  <w:txbxContent>
                    <w:p w:rsidR="00993875" w:rsidRDefault="00993875" w:rsidP="00993875">
                      <w:pPr>
                        <w:spacing w:after="0"/>
                        <w:rPr>
                          <w:color w:val="auto"/>
                        </w:rPr>
                      </w:pPr>
                      <w:bookmarkStart w:id="2" w:name="_GoBack"/>
                      <w:r>
                        <w:rPr>
                          <w:color w:val="auto"/>
                        </w:rPr>
                        <w:t xml:space="preserve">Durch diesen Versuch sollen die </w:t>
                      </w:r>
                      <w:proofErr w:type="spellStart"/>
                      <w:r>
                        <w:rPr>
                          <w:color w:val="auto"/>
                        </w:rPr>
                        <w:t>SuS</w:t>
                      </w:r>
                      <w:proofErr w:type="spellEnd"/>
                      <w:r>
                        <w:rPr>
                          <w:color w:val="auto"/>
                        </w:rPr>
                        <w:t xml:space="preserve"> die entzündliche Wirkung von Wasser, das sie als Löschmittel kennenlernten, erfahren. Sie lernen, dass nicht nur eine Flamme ein Feuer starten kann. Der Versuch kann also einen kognitiven Konflikt bezüglich dieser Fehlvorstellung wecken.</w:t>
                      </w:r>
                    </w:p>
                    <w:p w:rsidR="00993875" w:rsidRDefault="00993875" w:rsidP="00993875">
                      <w:pPr>
                        <w:rPr>
                          <w:color w:val="auto"/>
                        </w:rPr>
                      </w:pPr>
                      <w:r>
                        <w:rPr>
                          <w:color w:val="auto"/>
                        </w:rPr>
                        <w:t xml:space="preserve">Die </w:t>
                      </w:r>
                      <w:proofErr w:type="spellStart"/>
                      <w:r>
                        <w:rPr>
                          <w:color w:val="auto"/>
                        </w:rPr>
                        <w:t>Sus</w:t>
                      </w:r>
                      <w:proofErr w:type="spellEnd"/>
                      <w:r>
                        <w:rPr>
                          <w:color w:val="auto"/>
                        </w:rPr>
                        <w:t xml:space="preserve"> müssen die Begriffe Aktivierungsenergie und Katalysator erklären können, außerdem müssen sie erkennen, dass eine exotherme Reaktion abläuft, da Wärmeenergie frei wird. </w:t>
                      </w:r>
                      <w:bookmarkEnd w:id="2"/>
                    </w:p>
                  </w:txbxContent>
                </v:textbox>
                <w10:wrap type="square"/>
              </v:shape>
            </w:pict>
          </mc:Fallback>
        </mc:AlternateContent>
      </w:r>
      <w:r>
        <w:t>V2 – Mit Wasser „Feuer machen</w:t>
      </w:r>
      <w:bookmarkEnd w:id="0"/>
      <w:r>
        <w:t>“</w:t>
      </w:r>
    </w:p>
    <w:p w:rsidR="00993875" w:rsidRPr="0082309E" w:rsidRDefault="00993875" w:rsidP="00993875">
      <w:pPr>
        <w:pStyle w:val="berschrift2"/>
        <w:numPr>
          <w:ilvl w:val="0"/>
          <w:numId w:val="0"/>
        </w:numPr>
        <w:rPr>
          <w:sz w:val="2"/>
          <w:szCs w:val="6"/>
        </w:rPr>
      </w:pPr>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8"/>
        <w:gridCol w:w="1008"/>
        <w:gridCol w:w="1174"/>
        <w:gridCol w:w="992"/>
        <w:gridCol w:w="974"/>
        <w:gridCol w:w="1008"/>
        <w:gridCol w:w="1133"/>
      </w:tblGrid>
      <w:tr w:rsidR="00993875" w:rsidTr="00017F5A">
        <w:tc>
          <w:tcPr>
            <w:tcW w:w="9322" w:type="dxa"/>
            <w:gridSpan w:val="9"/>
            <w:tcBorders>
              <w:top w:val="single" w:sz="8" w:space="0" w:color="4F81BD"/>
              <w:left w:val="single" w:sz="8" w:space="0" w:color="4F81BD"/>
              <w:bottom w:val="nil"/>
              <w:right w:val="single" w:sz="8" w:space="0" w:color="4F81BD"/>
            </w:tcBorders>
            <w:shd w:val="clear" w:color="auto" w:fill="4F81BD"/>
            <w:vAlign w:val="center"/>
            <w:hideMark/>
          </w:tcPr>
          <w:p w:rsidR="00993875" w:rsidRDefault="00993875" w:rsidP="00017F5A">
            <w:pPr>
              <w:spacing w:after="0"/>
              <w:jc w:val="center"/>
              <w:rPr>
                <w:b/>
                <w:bCs/>
                <w:color w:val="FFFFFF" w:themeColor="background1"/>
              </w:rPr>
            </w:pPr>
            <w:r>
              <w:rPr>
                <w:b/>
                <w:bCs/>
                <w:color w:val="FFFFFF" w:themeColor="background1"/>
              </w:rPr>
              <w:t>Gefahrenstoffe</w:t>
            </w:r>
          </w:p>
        </w:tc>
      </w:tr>
      <w:tr w:rsidR="00993875" w:rsidTr="00017F5A">
        <w:trPr>
          <w:trHeight w:val="437"/>
        </w:trPr>
        <w:tc>
          <w:tcPr>
            <w:tcW w:w="3027" w:type="dxa"/>
            <w:gridSpan w:val="3"/>
            <w:tcBorders>
              <w:top w:val="single" w:sz="8" w:space="0" w:color="4F81BD"/>
              <w:left w:val="single" w:sz="8" w:space="0" w:color="4F81BD"/>
              <w:bottom w:val="single" w:sz="4" w:space="0" w:color="5B9BD5" w:themeColor="accent1"/>
              <w:right w:val="nil"/>
            </w:tcBorders>
            <w:vAlign w:val="center"/>
            <w:hideMark/>
          </w:tcPr>
          <w:p w:rsidR="00993875" w:rsidRDefault="00993875" w:rsidP="00017F5A">
            <w:pPr>
              <w:spacing w:after="0" w:line="276" w:lineRule="auto"/>
              <w:jc w:val="center"/>
              <w:rPr>
                <w:b/>
                <w:bCs/>
              </w:rPr>
            </w:pPr>
            <w:r>
              <w:rPr>
                <w:sz w:val="20"/>
              </w:rPr>
              <w:t>Zink</w:t>
            </w:r>
          </w:p>
        </w:tc>
        <w:tc>
          <w:tcPr>
            <w:tcW w:w="3177" w:type="dxa"/>
            <w:gridSpan w:val="3"/>
            <w:tcBorders>
              <w:top w:val="single" w:sz="8" w:space="0" w:color="4F81BD"/>
              <w:left w:val="nil"/>
              <w:bottom w:val="single" w:sz="8" w:space="0" w:color="4F81BD"/>
              <w:right w:val="nil"/>
            </w:tcBorders>
            <w:vAlign w:val="center"/>
            <w:hideMark/>
          </w:tcPr>
          <w:p w:rsidR="00993875" w:rsidRDefault="00993875" w:rsidP="00017F5A">
            <w:pPr>
              <w:spacing w:after="0"/>
              <w:jc w:val="center"/>
            </w:pPr>
            <w:r>
              <w:rPr>
                <w:sz w:val="20"/>
              </w:rPr>
              <w:t>-</w:t>
            </w:r>
          </w:p>
        </w:tc>
        <w:tc>
          <w:tcPr>
            <w:tcW w:w="3118" w:type="dxa"/>
            <w:gridSpan w:val="3"/>
            <w:tcBorders>
              <w:top w:val="single" w:sz="8" w:space="0" w:color="4F81BD"/>
              <w:left w:val="nil"/>
              <w:bottom w:val="single" w:sz="8" w:space="0" w:color="4F81BD"/>
              <w:right w:val="single" w:sz="8" w:space="0" w:color="4F81BD"/>
            </w:tcBorders>
            <w:vAlign w:val="center"/>
            <w:hideMark/>
          </w:tcPr>
          <w:p w:rsidR="00993875" w:rsidRDefault="00993875" w:rsidP="00017F5A">
            <w:pPr>
              <w:spacing w:after="0"/>
              <w:jc w:val="center"/>
            </w:pPr>
            <w:r>
              <w:rPr>
                <w:sz w:val="20"/>
              </w:rPr>
              <w:t>-</w:t>
            </w:r>
          </w:p>
        </w:tc>
      </w:tr>
      <w:tr w:rsidR="00993875" w:rsidTr="00017F5A">
        <w:trPr>
          <w:trHeight w:val="434"/>
        </w:trPr>
        <w:tc>
          <w:tcPr>
            <w:tcW w:w="3027" w:type="dxa"/>
            <w:gridSpan w:val="3"/>
            <w:tcBorders>
              <w:top w:val="single" w:sz="4" w:space="0" w:color="5B9BD5" w:themeColor="accent1"/>
              <w:left w:val="single" w:sz="8" w:space="0" w:color="4F81BD"/>
              <w:bottom w:val="single" w:sz="4" w:space="0" w:color="5B9BD5" w:themeColor="accent1"/>
              <w:right w:val="nil"/>
            </w:tcBorders>
            <w:vAlign w:val="center"/>
            <w:hideMark/>
          </w:tcPr>
          <w:p w:rsidR="00993875" w:rsidRDefault="00993875" w:rsidP="00017F5A">
            <w:pPr>
              <w:spacing w:after="0" w:line="276" w:lineRule="auto"/>
              <w:jc w:val="center"/>
              <w:rPr>
                <w:color w:val="auto"/>
                <w:sz w:val="20"/>
                <w:szCs w:val="20"/>
              </w:rPr>
            </w:pPr>
            <w:r>
              <w:rPr>
                <w:color w:val="auto"/>
                <w:sz w:val="20"/>
                <w:szCs w:val="20"/>
              </w:rPr>
              <w:t>Wasser</w:t>
            </w:r>
          </w:p>
        </w:tc>
        <w:tc>
          <w:tcPr>
            <w:tcW w:w="3177" w:type="dxa"/>
            <w:gridSpan w:val="3"/>
            <w:tcBorders>
              <w:top w:val="nil"/>
              <w:left w:val="nil"/>
              <w:bottom w:val="single" w:sz="4" w:space="0" w:color="5B9BD5" w:themeColor="accent1"/>
              <w:right w:val="nil"/>
            </w:tcBorders>
            <w:vAlign w:val="center"/>
          </w:tcPr>
          <w:p w:rsidR="00993875" w:rsidRDefault="00993875" w:rsidP="00017F5A">
            <w:pPr>
              <w:pStyle w:val="Beschriftung"/>
              <w:spacing w:after="0" w:line="276" w:lineRule="auto"/>
              <w:jc w:val="center"/>
              <w:rPr>
                <w:sz w:val="20"/>
              </w:rPr>
            </w:pPr>
            <w:r>
              <w:rPr>
                <w:sz w:val="20"/>
              </w:rPr>
              <w:t>-</w:t>
            </w:r>
          </w:p>
        </w:tc>
        <w:tc>
          <w:tcPr>
            <w:tcW w:w="3118" w:type="dxa"/>
            <w:gridSpan w:val="3"/>
            <w:tcBorders>
              <w:top w:val="nil"/>
              <w:left w:val="nil"/>
              <w:bottom w:val="single" w:sz="4" w:space="0" w:color="5B9BD5" w:themeColor="accent1"/>
              <w:right w:val="single" w:sz="8" w:space="0" w:color="4F81BD"/>
            </w:tcBorders>
            <w:vAlign w:val="center"/>
          </w:tcPr>
          <w:p w:rsidR="00993875" w:rsidRDefault="00993875" w:rsidP="00017F5A">
            <w:pPr>
              <w:pStyle w:val="Beschriftung"/>
              <w:spacing w:after="0" w:line="276" w:lineRule="auto"/>
              <w:jc w:val="center"/>
              <w:rPr>
                <w:sz w:val="20"/>
              </w:rPr>
            </w:pPr>
            <w:r>
              <w:rPr>
                <w:sz w:val="20"/>
              </w:rPr>
              <w:t>-</w:t>
            </w:r>
          </w:p>
        </w:tc>
      </w:tr>
      <w:tr w:rsidR="00993875" w:rsidTr="00017F5A">
        <w:trPr>
          <w:trHeight w:val="434"/>
        </w:trPr>
        <w:tc>
          <w:tcPr>
            <w:tcW w:w="3027" w:type="dxa"/>
            <w:gridSpan w:val="3"/>
            <w:tcBorders>
              <w:top w:val="nil"/>
              <w:left w:val="single" w:sz="8" w:space="0" w:color="4F81BD"/>
              <w:bottom w:val="single" w:sz="4" w:space="0" w:color="5B9BD5" w:themeColor="accent1"/>
              <w:right w:val="nil"/>
            </w:tcBorders>
            <w:vAlign w:val="center"/>
            <w:hideMark/>
          </w:tcPr>
          <w:p w:rsidR="00993875" w:rsidRDefault="00993875" w:rsidP="00017F5A">
            <w:pPr>
              <w:spacing w:after="0" w:line="276" w:lineRule="auto"/>
              <w:jc w:val="center"/>
              <w:rPr>
                <w:color w:val="auto"/>
                <w:sz w:val="20"/>
                <w:szCs w:val="20"/>
              </w:rPr>
            </w:pPr>
            <w:r>
              <w:rPr>
                <w:color w:val="auto"/>
                <w:sz w:val="20"/>
                <w:szCs w:val="20"/>
              </w:rPr>
              <w:t>Ammoniumnitrat</w:t>
            </w:r>
          </w:p>
        </w:tc>
        <w:tc>
          <w:tcPr>
            <w:tcW w:w="3177" w:type="dxa"/>
            <w:gridSpan w:val="3"/>
            <w:tcBorders>
              <w:top w:val="nil"/>
              <w:left w:val="nil"/>
              <w:bottom w:val="single" w:sz="4" w:space="0" w:color="5B9BD5" w:themeColor="accent1"/>
              <w:right w:val="nil"/>
            </w:tcBorders>
            <w:vAlign w:val="center"/>
          </w:tcPr>
          <w:p w:rsidR="00993875" w:rsidRDefault="00993875" w:rsidP="00017F5A">
            <w:pPr>
              <w:pStyle w:val="Beschriftung"/>
              <w:spacing w:after="0" w:line="276" w:lineRule="auto"/>
              <w:jc w:val="center"/>
              <w:rPr>
                <w:sz w:val="20"/>
              </w:rPr>
            </w:pPr>
            <w:r>
              <w:rPr>
                <w:sz w:val="20"/>
              </w:rPr>
              <w:t>H: 272</w:t>
            </w:r>
          </w:p>
        </w:tc>
        <w:tc>
          <w:tcPr>
            <w:tcW w:w="3118" w:type="dxa"/>
            <w:gridSpan w:val="3"/>
            <w:tcBorders>
              <w:top w:val="nil"/>
              <w:left w:val="nil"/>
              <w:bottom w:val="single" w:sz="4" w:space="0" w:color="5B9BD5" w:themeColor="accent1"/>
              <w:right w:val="single" w:sz="8" w:space="0" w:color="4F81BD"/>
            </w:tcBorders>
            <w:vAlign w:val="center"/>
          </w:tcPr>
          <w:p w:rsidR="00993875" w:rsidRDefault="00993875" w:rsidP="00017F5A">
            <w:pPr>
              <w:pStyle w:val="Beschriftung"/>
              <w:spacing w:after="0" w:line="276" w:lineRule="auto"/>
              <w:jc w:val="center"/>
              <w:rPr>
                <w:sz w:val="20"/>
              </w:rPr>
            </w:pPr>
            <w:r>
              <w:rPr>
                <w:sz w:val="20"/>
              </w:rPr>
              <w:t>P: 210</w:t>
            </w:r>
          </w:p>
        </w:tc>
      </w:tr>
      <w:tr w:rsidR="00993875" w:rsidTr="00017F5A">
        <w:trPr>
          <w:trHeight w:val="434"/>
        </w:trPr>
        <w:tc>
          <w:tcPr>
            <w:tcW w:w="3027" w:type="dxa"/>
            <w:gridSpan w:val="3"/>
            <w:tcBorders>
              <w:top w:val="single" w:sz="4" w:space="0" w:color="5B9BD5" w:themeColor="accent1"/>
              <w:left w:val="single" w:sz="8" w:space="0" w:color="4F81BD"/>
              <w:bottom w:val="nil"/>
              <w:right w:val="nil"/>
            </w:tcBorders>
            <w:vAlign w:val="center"/>
            <w:hideMark/>
          </w:tcPr>
          <w:p w:rsidR="00993875" w:rsidRDefault="00993875" w:rsidP="00017F5A">
            <w:pPr>
              <w:spacing w:after="0" w:line="276" w:lineRule="auto"/>
              <w:jc w:val="center"/>
              <w:rPr>
                <w:bCs/>
                <w:sz w:val="20"/>
              </w:rPr>
            </w:pPr>
            <w:r>
              <w:rPr>
                <w:color w:val="auto"/>
                <w:sz w:val="20"/>
                <w:szCs w:val="20"/>
              </w:rPr>
              <w:t>Ammoniumchlorid</w:t>
            </w:r>
          </w:p>
        </w:tc>
        <w:tc>
          <w:tcPr>
            <w:tcW w:w="3177" w:type="dxa"/>
            <w:gridSpan w:val="3"/>
            <w:tcBorders>
              <w:top w:val="single" w:sz="4" w:space="0" w:color="5B9BD5" w:themeColor="accent1"/>
              <w:left w:val="nil"/>
              <w:bottom w:val="nil"/>
              <w:right w:val="nil"/>
            </w:tcBorders>
            <w:vAlign w:val="center"/>
            <w:hideMark/>
          </w:tcPr>
          <w:p w:rsidR="00993875" w:rsidRDefault="00993875" w:rsidP="00017F5A">
            <w:pPr>
              <w:pStyle w:val="Beschriftung"/>
              <w:spacing w:after="0" w:line="276" w:lineRule="auto"/>
              <w:jc w:val="center"/>
              <w:rPr>
                <w:sz w:val="20"/>
              </w:rPr>
            </w:pPr>
            <w:r>
              <w:rPr>
                <w:sz w:val="20"/>
              </w:rPr>
              <w:t xml:space="preserve">H: </w:t>
            </w:r>
            <w:r>
              <w:t>302-319</w:t>
            </w:r>
          </w:p>
        </w:tc>
        <w:tc>
          <w:tcPr>
            <w:tcW w:w="3118" w:type="dxa"/>
            <w:gridSpan w:val="3"/>
            <w:tcBorders>
              <w:top w:val="single" w:sz="4" w:space="0" w:color="5B9BD5" w:themeColor="accent1"/>
              <w:left w:val="nil"/>
              <w:bottom w:val="nil"/>
              <w:right w:val="single" w:sz="8" w:space="0" w:color="4F81BD"/>
            </w:tcBorders>
            <w:vAlign w:val="center"/>
            <w:hideMark/>
          </w:tcPr>
          <w:p w:rsidR="00993875" w:rsidRDefault="00993875" w:rsidP="00017F5A">
            <w:pPr>
              <w:pStyle w:val="Beschriftung"/>
              <w:spacing w:after="0" w:line="276" w:lineRule="auto"/>
              <w:jc w:val="center"/>
              <w:rPr>
                <w:sz w:val="20"/>
              </w:rPr>
            </w:pPr>
            <w:r>
              <w:rPr>
                <w:sz w:val="20"/>
              </w:rPr>
              <w:t xml:space="preserve">P: </w:t>
            </w:r>
            <w:r>
              <w:t>305-319-338</w:t>
            </w:r>
          </w:p>
        </w:tc>
      </w:tr>
      <w:tr w:rsidR="00993875" w:rsidTr="00017F5A">
        <w:trPr>
          <w:trHeight w:val="434"/>
        </w:trPr>
        <w:tc>
          <w:tcPr>
            <w:tcW w:w="3027" w:type="dxa"/>
            <w:gridSpan w:val="3"/>
            <w:tcBorders>
              <w:top w:val="single" w:sz="4" w:space="0" w:color="5B9BD5" w:themeColor="accent1"/>
              <w:left w:val="single" w:sz="8" w:space="0" w:color="4F81BD"/>
              <w:bottom w:val="nil"/>
              <w:right w:val="nil"/>
            </w:tcBorders>
            <w:vAlign w:val="center"/>
          </w:tcPr>
          <w:p w:rsidR="00993875" w:rsidRPr="00402C5D" w:rsidRDefault="00993875" w:rsidP="00017F5A">
            <w:pPr>
              <w:spacing w:after="0" w:line="276" w:lineRule="auto"/>
              <w:jc w:val="center"/>
              <w:rPr>
                <w:color w:val="auto"/>
                <w:sz w:val="18"/>
                <w:szCs w:val="18"/>
              </w:rPr>
            </w:pPr>
            <w:r w:rsidRPr="00402C5D">
              <w:rPr>
                <w:color w:val="auto"/>
                <w:sz w:val="18"/>
                <w:szCs w:val="18"/>
              </w:rPr>
              <w:t>Wasserstoff</w:t>
            </w:r>
          </w:p>
        </w:tc>
        <w:tc>
          <w:tcPr>
            <w:tcW w:w="3177" w:type="dxa"/>
            <w:gridSpan w:val="3"/>
            <w:tcBorders>
              <w:top w:val="single" w:sz="4" w:space="0" w:color="5B9BD5" w:themeColor="accent1"/>
              <w:left w:val="nil"/>
              <w:bottom w:val="nil"/>
              <w:right w:val="nil"/>
            </w:tcBorders>
            <w:vAlign w:val="center"/>
          </w:tcPr>
          <w:p w:rsidR="00993875" w:rsidRPr="00402C5D" w:rsidRDefault="00993875" w:rsidP="00017F5A">
            <w:pPr>
              <w:pStyle w:val="Beschriftung"/>
              <w:spacing w:after="0" w:line="276" w:lineRule="auto"/>
              <w:jc w:val="center"/>
            </w:pPr>
            <w:r w:rsidRPr="00402C5D">
              <w:t>H: 220-280</w:t>
            </w:r>
          </w:p>
        </w:tc>
        <w:tc>
          <w:tcPr>
            <w:tcW w:w="3118" w:type="dxa"/>
            <w:gridSpan w:val="3"/>
            <w:tcBorders>
              <w:top w:val="single" w:sz="4" w:space="0" w:color="5B9BD5" w:themeColor="accent1"/>
              <w:left w:val="nil"/>
              <w:bottom w:val="nil"/>
              <w:right w:val="single" w:sz="8" w:space="0" w:color="4F81BD"/>
            </w:tcBorders>
            <w:vAlign w:val="center"/>
          </w:tcPr>
          <w:p w:rsidR="00993875" w:rsidRPr="00402C5D" w:rsidRDefault="00993875" w:rsidP="00017F5A">
            <w:pPr>
              <w:pStyle w:val="Beschriftung"/>
              <w:spacing w:after="0" w:line="276" w:lineRule="auto"/>
              <w:jc w:val="center"/>
            </w:pPr>
            <w:r w:rsidRPr="00402C5D">
              <w:t>P: 210-377-381-403</w:t>
            </w:r>
          </w:p>
        </w:tc>
      </w:tr>
      <w:tr w:rsidR="00993875" w:rsidTr="00017F5A">
        <w:tc>
          <w:tcPr>
            <w:tcW w:w="1009" w:type="dxa"/>
            <w:tcBorders>
              <w:top w:val="single" w:sz="8" w:space="0" w:color="4F81BD"/>
              <w:left w:val="single" w:sz="8" w:space="0" w:color="4F81BD"/>
              <w:bottom w:val="single" w:sz="8" w:space="0" w:color="4F81BD"/>
              <w:right w:val="nil"/>
            </w:tcBorders>
            <w:vAlign w:val="center"/>
            <w:hideMark/>
          </w:tcPr>
          <w:p w:rsidR="00993875" w:rsidRDefault="00993875" w:rsidP="00017F5A">
            <w:pPr>
              <w:spacing w:after="0"/>
              <w:jc w:val="center"/>
              <w:rPr>
                <w:b/>
                <w:bCs/>
              </w:rPr>
            </w:pPr>
            <w:r>
              <w:rPr>
                <w:noProof/>
                <w:lang w:eastAsia="de-DE"/>
              </w:rPr>
              <w:drawing>
                <wp:inline distT="0" distB="0" distL="0" distR="0" wp14:anchorId="26F99A96" wp14:editId="50AC2B48">
                  <wp:extent cx="503555" cy="50355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grayscl/>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993875" w:rsidRDefault="00993875" w:rsidP="00017F5A">
            <w:pPr>
              <w:spacing w:after="0"/>
              <w:jc w:val="center"/>
            </w:pPr>
            <w:r>
              <w:rPr>
                <w:noProof/>
                <w:lang w:eastAsia="de-DE"/>
              </w:rPr>
              <w:drawing>
                <wp:inline distT="0" distB="0" distL="0" distR="0" wp14:anchorId="78054B3C" wp14:editId="7E243414">
                  <wp:extent cx="503555" cy="5035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993875" w:rsidRDefault="00993875" w:rsidP="00017F5A">
            <w:pPr>
              <w:spacing w:after="0"/>
              <w:jc w:val="center"/>
            </w:pPr>
            <w:r w:rsidRPr="00402C5D">
              <w:rPr>
                <w:noProof/>
                <w:lang w:eastAsia="de-DE"/>
              </w:rPr>
              <w:drawing>
                <wp:inline distT="0" distB="0" distL="0" distR="0" wp14:anchorId="4DEEEA10" wp14:editId="619638F5">
                  <wp:extent cx="519380" cy="519380"/>
                  <wp:effectExtent l="0" t="0" r="0" b="0"/>
                  <wp:docPr id="49" name="Grafik 49" descr="C:\Uni\Master\Praktika\SVP Chemie\Templat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ni\Master\Praktika\SVP Chemie\Template\Piktogramme\Brennba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541691" cy="541691"/>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993875" w:rsidRDefault="00993875" w:rsidP="00017F5A">
            <w:pPr>
              <w:spacing w:after="0"/>
              <w:jc w:val="center"/>
            </w:pPr>
            <w:r>
              <w:rPr>
                <w:noProof/>
                <w:lang w:eastAsia="de-DE"/>
              </w:rPr>
              <w:drawing>
                <wp:inline distT="0" distB="0" distL="0" distR="0" wp14:anchorId="5B140457" wp14:editId="29F768AE">
                  <wp:extent cx="504825" cy="5048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1175" w:type="dxa"/>
            <w:tcBorders>
              <w:top w:val="single" w:sz="8" w:space="0" w:color="4F81BD"/>
              <w:left w:val="nil"/>
              <w:bottom w:val="single" w:sz="8" w:space="0" w:color="4F81BD"/>
              <w:right w:val="nil"/>
            </w:tcBorders>
            <w:vAlign w:val="center"/>
            <w:hideMark/>
          </w:tcPr>
          <w:p w:rsidR="00993875" w:rsidRDefault="00993875" w:rsidP="00017F5A">
            <w:pPr>
              <w:spacing w:after="0"/>
              <w:jc w:val="center"/>
            </w:pPr>
            <w:r w:rsidRPr="00402C5D">
              <w:rPr>
                <w:noProof/>
                <w:lang w:eastAsia="de-DE"/>
              </w:rPr>
              <w:drawing>
                <wp:inline distT="0" distB="0" distL="0" distR="0" wp14:anchorId="1377A458" wp14:editId="6FE8823B">
                  <wp:extent cx="518744" cy="518744"/>
                  <wp:effectExtent l="0" t="0" r="0" b="0"/>
                  <wp:docPr id="50" name="Grafik 50" descr="C:\Uni\Master\Praktika\SVP Chemie\Templat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ni\Master\Praktika\SVP Chemie\Template\Piktogramme\Gasflasch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781" cy="542781"/>
                          </a:xfrm>
                          <a:prstGeom prst="rect">
                            <a:avLst/>
                          </a:prstGeom>
                          <a:noFill/>
                          <a:ln>
                            <a:noFill/>
                          </a:ln>
                        </pic:spPr>
                      </pic:pic>
                    </a:graphicData>
                  </a:graphic>
                </wp:inline>
              </w:drawing>
            </w:r>
          </w:p>
        </w:tc>
        <w:tc>
          <w:tcPr>
            <w:tcW w:w="993" w:type="dxa"/>
            <w:tcBorders>
              <w:top w:val="single" w:sz="8" w:space="0" w:color="4F81BD"/>
              <w:left w:val="nil"/>
              <w:bottom w:val="single" w:sz="8" w:space="0" w:color="4F81BD"/>
              <w:right w:val="nil"/>
            </w:tcBorders>
            <w:vAlign w:val="center"/>
            <w:hideMark/>
          </w:tcPr>
          <w:p w:rsidR="00993875" w:rsidRDefault="00993875" w:rsidP="00017F5A">
            <w:pPr>
              <w:spacing w:after="0"/>
              <w:jc w:val="center"/>
            </w:pPr>
            <w:r>
              <w:rPr>
                <w:noProof/>
                <w:lang w:eastAsia="de-DE"/>
              </w:rPr>
              <w:drawing>
                <wp:inline distT="0" distB="0" distL="0" distR="0" wp14:anchorId="45D90F77" wp14:editId="33330FCA">
                  <wp:extent cx="504825" cy="5048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975" w:type="dxa"/>
            <w:tcBorders>
              <w:top w:val="single" w:sz="8" w:space="0" w:color="4F81BD"/>
              <w:left w:val="nil"/>
              <w:bottom w:val="single" w:sz="8" w:space="0" w:color="4F81BD"/>
              <w:right w:val="nil"/>
            </w:tcBorders>
            <w:vAlign w:val="center"/>
            <w:hideMark/>
          </w:tcPr>
          <w:p w:rsidR="00993875" w:rsidRDefault="00993875" w:rsidP="00017F5A">
            <w:pPr>
              <w:spacing w:after="0"/>
              <w:jc w:val="center"/>
            </w:pPr>
            <w:r>
              <w:rPr>
                <w:noProof/>
                <w:lang w:eastAsia="de-DE"/>
              </w:rPr>
              <w:drawing>
                <wp:inline distT="0" distB="0" distL="0" distR="0" wp14:anchorId="48F17DC4" wp14:editId="7372A9AF">
                  <wp:extent cx="504825" cy="5048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993875" w:rsidRDefault="00993875" w:rsidP="00017F5A">
            <w:pPr>
              <w:spacing w:after="0"/>
              <w:jc w:val="center"/>
            </w:pPr>
            <w:r>
              <w:rPr>
                <w:noProof/>
                <w:lang w:eastAsia="de-DE"/>
              </w:rPr>
              <w:drawing>
                <wp:inline distT="0" distB="0" distL="0" distR="0" wp14:anchorId="10E4847B" wp14:editId="29BB175C">
                  <wp:extent cx="514350" cy="514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134" w:type="dxa"/>
            <w:tcBorders>
              <w:top w:val="single" w:sz="8" w:space="0" w:color="4F81BD"/>
              <w:left w:val="nil"/>
              <w:bottom w:val="single" w:sz="8" w:space="0" w:color="4F81BD"/>
              <w:right w:val="single" w:sz="8" w:space="0" w:color="4F81BD"/>
            </w:tcBorders>
            <w:vAlign w:val="center"/>
            <w:hideMark/>
          </w:tcPr>
          <w:p w:rsidR="00993875" w:rsidRDefault="00993875" w:rsidP="00017F5A">
            <w:pPr>
              <w:spacing w:after="0"/>
              <w:jc w:val="center"/>
            </w:pPr>
            <w:r>
              <w:rPr>
                <w:noProof/>
                <w:lang w:eastAsia="de-DE"/>
              </w:rPr>
              <w:drawing>
                <wp:inline distT="0" distB="0" distL="0" distR="0" wp14:anchorId="097BF280" wp14:editId="7312D650">
                  <wp:extent cx="504825" cy="504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bl>
    <w:p w:rsidR="00993875" w:rsidRPr="0082309E" w:rsidRDefault="00993875" w:rsidP="00993875">
      <w:pPr>
        <w:tabs>
          <w:tab w:val="left" w:pos="1701"/>
          <w:tab w:val="left" w:pos="1985"/>
        </w:tabs>
        <w:ind w:left="1980" w:hanging="1980"/>
        <w:rPr>
          <w:sz w:val="2"/>
          <w:szCs w:val="2"/>
        </w:rPr>
      </w:pPr>
    </w:p>
    <w:p w:rsidR="00993875" w:rsidRDefault="00993875" w:rsidP="00993875">
      <w:pPr>
        <w:tabs>
          <w:tab w:val="left" w:pos="1701"/>
          <w:tab w:val="left" w:pos="1985"/>
        </w:tabs>
        <w:ind w:left="1980" w:hanging="1980"/>
      </w:pPr>
      <w:r>
        <w:t xml:space="preserve">Materialien: </w:t>
      </w:r>
      <w:r>
        <w:tab/>
      </w:r>
      <w:r>
        <w:tab/>
        <w:t>Filterpapier, feuerfeste Unterlage, Pipette</w:t>
      </w:r>
    </w:p>
    <w:p w:rsidR="00993875" w:rsidRDefault="00993875" w:rsidP="00993875">
      <w:pPr>
        <w:tabs>
          <w:tab w:val="left" w:pos="1701"/>
          <w:tab w:val="left" w:pos="1985"/>
        </w:tabs>
        <w:ind w:left="1980" w:hanging="1980"/>
      </w:pPr>
      <w:r>
        <w:t>Chemikalien:</w:t>
      </w:r>
      <w:r>
        <w:tab/>
      </w:r>
      <w:r>
        <w:tab/>
        <w:t>Zink, Wasser, Ammoniumnitrat, Ammoniumchlorid</w:t>
      </w:r>
    </w:p>
    <w:p w:rsidR="00993875" w:rsidRDefault="00993875" w:rsidP="00993875">
      <w:pPr>
        <w:tabs>
          <w:tab w:val="left" w:pos="1701"/>
          <w:tab w:val="left" w:pos="1985"/>
        </w:tabs>
        <w:spacing w:after="0"/>
        <w:ind w:left="1980" w:hanging="1980"/>
      </w:pPr>
      <w:r>
        <w:t xml:space="preserve">Durchführung: </w:t>
      </w:r>
      <w:r>
        <w:tab/>
      </w:r>
      <w:r>
        <w:tab/>
      </w:r>
      <w:r>
        <w:tab/>
        <w:t>3 g pulverförmiges Zink, 4 g Ammoniumnitrat und eine Spatelspitze Ammoniumchlorid werden zusammengegeben und auf einem trockenen Filterpapier vermengt. Auf einer feuerfesten Unterlage wird die Mischung zu einem Kegel aufgehäuft und mittels der Pipette wenig Wasser dazu getropft.</w:t>
      </w:r>
      <w:r w:rsidRPr="00CF72B0">
        <w:rPr>
          <w:noProof/>
          <w:lang w:eastAsia="de-DE"/>
        </w:rPr>
        <w:t xml:space="preserve"> </w:t>
      </w:r>
    </w:p>
    <w:p w:rsidR="00993875" w:rsidRDefault="00993875" w:rsidP="00993875">
      <w:pPr>
        <w:tabs>
          <w:tab w:val="left" w:pos="1701"/>
          <w:tab w:val="left" w:pos="1985"/>
        </w:tabs>
        <w:spacing w:after="0"/>
        <w:ind w:left="1980" w:hanging="1980"/>
      </w:pPr>
      <w:r>
        <w:t>Beobachtung:</w:t>
      </w:r>
      <w:r>
        <w:tab/>
      </w:r>
      <w:r>
        <w:tab/>
      </w:r>
      <w:r>
        <w:tab/>
        <w:t>Das Substanzgemisch entzündet sich nach kurzer Zeit selbst.</w:t>
      </w: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p>
    <w:p w:rsidR="00993875" w:rsidRDefault="00993875" w:rsidP="00993875">
      <w:pPr>
        <w:tabs>
          <w:tab w:val="left" w:pos="1701"/>
          <w:tab w:val="left" w:pos="1985"/>
        </w:tabs>
        <w:spacing w:after="0"/>
        <w:ind w:left="1980" w:hanging="1980"/>
      </w:pPr>
      <w:r>
        <w:rPr>
          <w:noProof/>
          <w:szCs w:val="26"/>
          <w:lang w:eastAsia="de-DE"/>
        </w:rPr>
        <w:lastRenderedPageBreak/>
        <mc:AlternateContent>
          <mc:Choice Requires="wps">
            <w:drawing>
              <wp:anchor distT="0" distB="0" distL="114300" distR="114300" simplePos="0" relativeHeight="251661312" behindDoc="0" locked="0" layoutInCell="1" allowOverlap="1">
                <wp:simplePos x="0" y="0"/>
                <wp:positionH relativeFrom="column">
                  <wp:posOffset>1759585</wp:posOffset>
                </wp:positionH>
                <wp:positionV relativeFrom="paragraph">
                  <wp:posOffset>2702560</wp:posOffset>
                </wp:positionV>
                <wp:extent cx="2250440" cy="553085"/>
                <wp:effectExtent l="1905" t="1905" r="0" b="0"/>
                <wp:wrapTopAndBottom/>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3875" w:rsidRPr="00F5198D" w:rsidRDefault="00993875" w:rsidP="00993875">
                            <w:pPr>
                              <w:pStyle w:val="Beschriftung"/>
                              <w:rPr>
                                <w:noProof/>
                                <w:color w:val="171717" w:themeColor="background2" w:themeShade="1A"/>
                              </w:rPr>
                            </w:pPr>
                            <w:r>
                              <w:t xml:space="preserve">Abbildung </w:t>
                            </w:r>
                            <w:fldSimple w:instr=" SEQ Abbildung \* ARABIC ">
                              <w:r w:rsidR="00B9391A">
                                <w:rPr>
                                  <w:noProof/>
                                </w:rPr>
                                <w:t>1</w:t>
                              </w:r>
                            </w:fldSimple>
                            <w:r>
                              <w:t>: Blau gefärbte Flamme der Selbstentzündung von Zink, Ammoniumnitrat und Ammoniumchlorid mit</w:t>
                            </w:r>
                            <w:r w:rsidRPr="0082309E">
                              <w:t xml:space="preserve"> </w:t>
                            </w:r>
                            <w:r>
                              <w:t>Wasser.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 o:spid="_x0000_s1027" type="#_x0000_t202" style="position:absolute;left:0;text-align:left;margin-left:138.55pt;margin-top:212.8pt;width:177.2pt;height:4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" stroked="f">
                <v:textbox inset="0,0,0,0">
                  <w:txbxContent>
                    <w:p w:rsidR="00993875" w:rsidRPr="00F5198D" w:rsidRDefault="00993875" w:rsidP="00993875">
                      <w:pPr>
                        <w:pStyle w:val="Beschriftung"/>
                        <w:rPr>
                          <w:noProof/>
                          <w:color w:val="171717" w:themeColor="background2" w:themeShade="1A"/>
                        </w:rPr>
                      </w:pPr>
                      <w:r>
                        <w:t xml:space="preserve">Abbildung </w:t>
                      </w:r>
                      <w:fldSimple w:instr=" SEQ Abbildung \* ARABIC ">
                        <w:r w:rsidR="00B9391A">
                          <w:rPr>
                            <w:noProof/>
                          </w:rPr>
                          <w:t>1</w:t>
                        </w:r>
                      </w:fldSimple>
                      <w:r>
                        <w:t>: Blau gefärbte Flamme der Selbstentzündung von Zink, Ammoniumnitrat und Ammoniumchlorid mit</w:t>
                      </w:r>
                      <w:r w:rsidRPr="0082309E">
                        <w:t xml:space="preserve"> </w:t>
                      </w:r>
                      <w:r>
                        <w:t>Wasser.</w:t>
                      </w:r>
                    </w:p>
                  </w:txbxContent>
                </v:textbox>
                <w10:wrap type="topAndBottom"/>
              </v:shape>
            </w:pict>
          </mc:Fallback>
        </mc:AlternateContent>
      </w:r>
      <w:r w:rsidRPr="0082309E">
        <w:rPr>
          <w:noProof/>
          <w:lang w:eastAsia="de-DE"/>
        </w:rPr>
        <w:drawing>
          <wp:anchor distT="0" distB="0" distL="114300" distR="114300" simplePos="0" relativeHeight="251659264" behindDoc="0" locked="0" layoutInCell="1" allowOverlap="1" wp14:anchorId="34B4B5A5" wp14:editId="13A95B14">
            <wp:simplePos x="0" y="0"/>
            <wp:positionH relativeFrom="column">
              <wp:posOffset>1544955</wp:posOffset>
            </wp:positionH>
            <wp:positionV relativeFrom="paragraph">
              <wp:posOffset>202137</wp:posOffset>
            </wp:positionV>
            <wp:extent cx="2675890" cy="2256790"/>
            <wp:effectExtent l="0" t="209550" r="0" b="181610"/>
            <wp:wrapTopAndBottom/>
            <wp:docPr id="5" name="Grafik 5" descr="C:\Users\Vera\Pictures\vlcsnap-9869-02-28-15h04m47s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a\Pictures\vlcsnap-9869-02-28-15h04m47s66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521" t="19191" r="28730" b="27251"/>
                    <a:stretch/>
                  </pic:blipFill>
                  <pic:spPr bwMode="auto">
                    <a:xfrm rot="5400000">
                      <a:off x="0" y="0"/>
                      <a:ext cx="2675890" cy="2256790"/>
                    </a:xfrm>
                    <a:prstGeom prst="rect">
                      <a:avLst/>
                    </a:prstGeom>
                    <a:noFill/>
                    <a:ln>
                      <a:noFill/>
                    </a:ln>
                    <a:extLst>
                      <a:ext uri="{53640926-AAD7-44D8-BBD7-CCE9431645EC}">
                        <a14:shadowObscured xmlns:a14="http://schemas.microsoft.com/office/drawing/2010/main"/>
                      </a:ext>
                    </a:extLst>
                  </pic:spPr>
                </pic:pic>
              </a:graphicData>
            </a:graphic>
          </wp:anchor>
        </w:drawing>
      </w:r>
      <w:r>
        <w:rPr>
          <w:rFonts w:cs="Utsaah"/>
        </w:rPr>
        <w:t>Deutung</w:t>
      </w:r>
      <w:r>
        <w:t>:</w:t>
      </w:r>
      <w:r>
        <w:tab/>
      </w:r>
      <w:r>
        <w:tab/>
        <w:t>Das Metall hat eine katalytische Wirkung auf die Reaktion. Ohne das Zink ist die Aktivierungsenergie zu hoch, um die Reaktion spontan zu starten. Das Wasser bewirkt, die Reaktion von Zink mit den Ammonium-Ionen. Stickstoff und Wasserstoff entstehen. Die Reaktionsenergie wird in Form von Wärme frei und entzündet den Wasserstoff.</w:t>
      </w:r>
    </w:p>
    <w:p w:rsidR="00993875" w:rsidRDefault="00993875" w:rsidP="00B9391A">
      <w:pPr>
        <w:tabs>
          <w:tab w:val="left" w:pos="1701"/>
          <w:tab w:val="left" w:pos="1985"/>
        </w:tabs>
        <w:ind w:left="1980" w:hanging="1980"/>
        <w:rPr>
          <w:rFonts w:eastAsiaTheme="minorEastAsia"/>
          <w:sz w:val="20"/>
          <w:szCs w:val="20"/>
        </w:rPr>
      </w:pPr>
      <w:r>
        <w:tab/>
      </w:r>
      <w:r>
        <w:tab/>
      </w:r>
      <w:r w:rsidRPr="00AC4952">
        <w:rPr>
          <w:sz w:val="20"/>
          <w:szCs w:val="20"/>
        </w:rPr>
        <w:tab/>
      </w:r>
      <m:oMath>
        <m:sSub>
          <m:sSubPr>
            <m:ctrlPr>
              <w:rPr>
                <w:rFonts w:ascii="Cambria Math" w:hAnsi="Cambria Math"/>
                <w:sz w:val="20"/>
                <w:szCs w:val="20"/>
              </w:rPr>
            </m:ctrlPr>
          </m:sSubPr>
          <m:e>
            <m: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 xml:space="preserve">Zn </m:t>
                </m:r>
              </m:e>
              <m:sub>
                <m:r>
                  <m:rPr>
                    <m:sty m:val="p"/>
                  </m:rPr>
                  <w:rPr>
                    <w:rFonts w:ascii="Cambria Math" w:hAnsi="Cambria Math"/>
                    <w:sz w:val="20"/>
                    <w:szCs w:val="20"/>
                  </w:rPr>
                  <m:t>(s)</m:t>
                </m:r>
              </m:sub>
            </m:sSub>
            <m:r>
              <m:rPr>
                <m:sty m:val="p"/>
              </m:rPr>
              <w:rPr>
                <w:rFonts w:ascii="Cambria Math" w:hAnsi="Cambria Math"/>
                <w:sz w:val="20"/>
                <w:szCs w:val="20"/>
              </w:rPr>
              <m:t xml:space="preserve">+ </m:t>
            </m:r>
            <m:sSub>
              <m:sSubPr>
                <m:ctrlPr>
                  <w:rPr>
                    <w:rFonts w:ascii="Cambria Math" w:hAnsi="Cambria Math"/>
                    <w:sz w:val="20"/>
                    <w:szCs w:val="20"/>
                  </w:rPr>
                </m:ctrlPr>
              </m:sSubPr>
              <m:e>
                <m:sSub>
                  <m:sSubPr>
                    <m:ctrlPr>
                      <w:rPr>
                        <w:rFonts w:ascii="Cambria Math" w:hAnsi="Cambria Math"/>
                        <w:sz w:val="20"/>
                        <w:szCs w:val="20"/>
                      </w:rPr>
                    </m:ctrlPr>
                  </m:sSubPr>
                  <m:e>
                    <m:r>
                      <m:rPr>
                        <m:sty m:val="p"/>
                      </m:rPr>
                      <w:rPr>
                        <w:rFonts w:ascii="Cambria Math" w:hAnsi="Cambria Math"/>
                        <w:sz w:val="20"/>
                        <w:szCs w:val="20"/>
                      </w:rPr>
                      <m:t>NH</m:t>
                    </m:r>
                  </m:e>
                  <m:sub>
                    <m:r>
                      <m:rPr>
                        <m:sty m:val="p"/>
                      </m:rPr>
                      <w:rPr>
                        <w:rFonts w:ascii="Cambria Math" w:hAnsi="Cambria Math"/>
                        <w:sz w:val="20"/>
                        <w:szCs w:val="20"/>
                      </w:rPr>
                      <m:t>4</m:t>
                    </m:r>
                  </m:sub>
                </m:sSub>
                <m:r>
                  <m:rPr>
                    <m:sty m:val="p"/>
                  </m:rPr>
                  <w:rPr>
                    <w:rFonts w:ascii="Cambria Math" w:hAnsi="Cambria Math"/>
                    <w:sz w:val="20"/>
                    <w:szCs w:val="20"/>
                  </w:rPr>
                  <m:t>NO</m:t>
                </m:r>
              </m:e>
              <m:sub>
                <m:r>
                  <m:rPr>
                    <m:sty m:val="p"/>
                  </m:rPr>
                  <w:rPr>
                    <w:rFonts w:ascii="Cambria Math" w:hAnsi="Cambria Math"/>
                    <w:sz w:val="20"/>
                    <w:szCs w:val="20"/>
                  </w:rPr>
                  <m:t>3</m:t>
                </m:r>
              </m:sub>
            </m:sSub>
            <m:r>
              <m:rPr>
                <m:sty m:val="p"/>
              </m:rPr>
              <w:rPr>
                <w:rFonts w:ascii="Cambria Math" w:hAnsi="Cambria Math"/>
                <w:sz w:val="20"/>
                <w:szCs w:val="20"/>
              </w:rPr>
              <m:t xml:space="preserve"> </m:t>
            </m:r>
          </m:e>
          <m:sub>
            <m:r>
              <w:rPr>
                <w:rFonts w:ascii="Cambria Math" w:hAnsi="Cambria Math"/>
                <w:sz w:val="20"/>
                <w:szCs w:val="20"/>
              </w:rPr>
              <m:t>(s)</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2 H</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 xml:space="preserve">O </m:t>
            </m:r>
          </m:e>
          <m:sub>
            <m:r>
              <m:rPr>
                <m:sty m:val="p"/>
              </m:rPr>
              <w:rPr>
                <w:rFonts w:ascii="Cambria Math" w:hAnsi="Cambria Math"/>
                <w:sz w:val="20"/>
                <w:szCs w:val="20"/>
              </w:rPr>
              <m:t>(</m:t>
            </m:r>
            <m:r>
              <m:rPr>
                <m:sty m:val="p"/>
              </m:rPr>
              <w:rPr>
                <w:rFonts w:ascii="Cambria Math" w:hAnsi="Cambria Math"/>
                <w:sz w:val="20"/>
                <w:szCs w:val="20"/>
              </w:rPr>
              <m:t>l</m:t>
            </m:r>
            <m:r>
              <m:rPr>
                <m:sty m:val="p"/>
              </m:rPr>
              <w:rPr>
                <w:rFonts w:ascii="Cambria Math" w:hAnsi="Cambria Math"/>
                <w:sz w:val="20"/>
                <w:szCs w:val="20"/>
              </w:rPr>
              <m:t>)</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N</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 xml:space="preserve"> </m:t>
            </m:r>
          </m:e>
          <m:sub>
            <m:r>
              <m:rPr>
                <m:sty m:val="p"/>
              </m:rPr>
              <w:rPr>
                <w:rFonts w:ascii="Cambria Math" w:hAnsi="Cambria Math"/>
                <w:sz w:val="20"/>
                <w:szCs w:val="20"/>
              </w:rPr>
              <m:t>(s)</m:t>
            </m:r>
          </m:sub>
        </m:sSub>
        <m:r>
          <w:rPr>
            <w:rFonts w:ascii="Cambria Math" w:hAnsi="Cambria Math"/>
            <w:sz w:val="20"/>
            <w:szCs w:val="20"/>
          </w:rPr>
          <m:t>+</m:t>
        </m:r>
        <m:r>
          <m:rPr>
            <m:sty m:val="p"/>
          </m:rPr>
          <w:rPr>
            <w:rFonts w:ascii="Cambria Math" w:hAnsi="Cambria Math"/>
            <w:sz w:val="20"/>
            <w:szCs w:val="20"/>
          </w:rPr>
          <m:t>Zn</m:t>
        </m:r>
        <m:sSub>
          <m:sSubPr>
            <m:ctrlPr>
              <w:rPr>
                <w:rFonts w:ascii="Cambria Math" w:hAnsi="Cambria Math"/>
                <w:sz w:val="20"/>
                <w:szCs w:val="20"/>
              </w:rPr>
            </m:ctrlPr>
          </m:sSubPr>
          <m:e>
            <m:r>
              <w:rPr>
                <w:rFonts w:ascii="Cambria Math" w:hAnsi="Cambria Math"/>
                <w:sz w:val="20"/>
                <w:szCs w:val="20"/>
              </w:rPr>
              <m:t xml:space="preserve">O </m:t>
            </m:r>
          </m:e>
          <m:sub>
            <m:r>
              <m:rPr>
                <m:sty m:val="p"/>
              </m:rPr>
              <w:rPr>
                <w:rFonts w:ascii="Cambria Math" w:hAnsi="Cambria Math"/>
                <w:sz w:val="20"/>
                <w:szCs w:val="20"/>
              </w:rPr>
              <m:t>(</m:t>
            </m:r>
            <m:r>
              <m:rPr>
                <m:sty m:val="p"/>
              </m:rPr>
              <w:rPr>
                <w:rFonts w:ascii="Cambria Math" w:hAnsi="Cambria Math"/>
                <w:sz w:val="20"/>
                <w:szCs w:val="20"/>
              </w:rPr>
              <m:t>s</m:t>
            </m:r>
            <m:r>
              <m:rPr>
                <m:sty m:val="p"/>
              </m:rPr>
              <w:rPr>
                <w:rFonts w:ascii="Cambria Math" w:hAnsi="Cambria Math"/>
                <w:sz w:val="20"/>
                <w:szCs w:val="20"/>
              </w:rPr>
              <m:t>)</m:t>
            </m:r>
          </m:sub>
        </m:sSub>
      </m:oMath>
      <w:bookmarkStart w:id="1" w:name="_GoBack"/>
      <w:bookmarkEnd w:id="1"/>
    </w:p>
    <w:p w:rsidR="00993875" w:rsidRDefault="00993875" w:rsidP="00B9391A">
      <w:pPr>
        <w:tabs>
          <w:tab w:val="left" w:pos="1701"/>
        </w:tabs>
        <w:ind w:left="1980" w:hanging="1980"/>
      </w:pPr>
      <w:r>
        <w:tab/>
      </w:r>
      <w:r>
        <w:rPr>
          <w:rFonts w:eastAsiaTheme="minorEastAsia"/>
        </w:rPr>
        <w:t xml:space="preserve">       </w:t>
      </w:r>
      <m:oMath>
        <m:sSub>
          <m:sSubPr>
            <m:ctrlPr>
              <w:rPr>
                <w:rFonts w:ascii="Cambria Math" w:hAnsi="Cambria Math"/>
                <w:sz w:val="20"/>
                <w:szCs w:val="20"/>
              </w:rPr>
            </m:ctrlPr>
          </m:sSubPr>
          <m:e>
            <m: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 xml:space="preserve">Zn </m:t>
                </m:r>
              </m:e>
              <m:sub>
                <m:r>
                  <m:rPr>
                    <m:sty m:val="p"/>
                  </m:rPr>
                  <w:rPr>
                    <w:rFonts w:ascii="Cambria Math" w:hAnsi="Cambria Math"/>
                    <w:sz w:val="20"/>
                    <w:szCs w:val="20"/>
                  </w:rPr>
                  <m:t>(s)</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2 H</m:t>
                </m:r>
              </m:e>
              <m:sub>
                <m:r>
                  <m:rPr>
                    <m:sty m:val="p"/>
                  </m:rPr>
                  <w:rPr>
                    <w:rFonts w:ascii="Cambria Math" w:hAnsi="Cambria Math"/>
                    <w:sz w:val="20"/>
                    <w:szCs w:val="20"/>
                  </w:rPr>
                  <m:t>2</m:t>
                </m:r>
              </m:sub>
            </m:sSub>
            <m:r>
              <m:rPr>
                <m:sty m:val="p"/>
              </m:rPr>
              <w:rPr>
                <w:rFonts w:ascii="Cambria Math" w:hAnsi="Cambria Math"/>
                <w:sz w:val="20"/>
                <w:szCs w:val="20"/>
              </w:rPr>
              <m:t xml:space="preserve">O </m:t>
            </m:r>
          </m:e>
          <m:sub>
            <m:r>
              <w:rPr>
                <w:rFonts w:ascii="Cambria Math" w:hAnsi="Cambria Math"/>
                <w:sz w:val="20"/>
                <w:szCs w:val="20"/>
              </w:rPr>
              <m:t>(</m:t>
            </m:r>
            <m:r>
              <w:rPr>
                <w:rFonts w:ascii="Cambria Math" w:hAnsi="Cambria Math"/>
                <w:sz w:val="20"/>
                <w:szCs w:val="20"/>
              </w:rPr>
              <m:t>l</m:t>
            </m:r>
            <m:r>
              <w:rPr>
                <w:rFonts w:ascii="Cambria Math" w:hAnsi="Cambria Math"/>
                <w:sz w:val="20"/>
                <w:szCs w:val="20"/>
              </w:rPr>
              <m:t>)</m:t>
            </m:r>
          </m:sub>
        </m:sSub>
        <m:r>
          <m:rPr>
            <m:sty m:val="p"/>
          </m:rPr>
          <w:rPr>
            <w:rFonts w:ascii="Cambria Math" w:hAnsi="Cambria Math"/>
            <w:sz w:val="20"/>
            <w:szCs w:val="20"/>
          </w:rPr>
          <m:t xml:space="preserve">→2 </m:t>
        </m:r>
        <m:sSup>
          <m:sSupPr>
            <m:ctrlPr>
              <w:rPr>
                <w:rFonts w:ascii="Cambria Math" w:eastAsiaTheme="minorEastAsia" w:hAnsi="Cambria Math"/>
                <w:i/>
                <w:sz w:val="20"/>
                <w:szCs w:val="20"/>
              </w:rPr>
            </m:ctrlPr>
          </m:sSupPr>
          <m:e>
            <m:r>
              <w:rPr>
                <w:rFonts w:ascii="Cambria Math" w:eastAsiaTheme="minorEastAsia" w:hAnsi="Cambria Math"/>
                <w:sz w:val="20"/>
                <w:szCs w:val="20"/>
              </w:rPr>
              <m:t>OH</m:t>
            </m:r>
          </m:e>
          <m:sup>
            <m:r>
              <w:rPr>
                <w:rFonts w:ascii="Cambria Math" w:eastAsiaTheme="minorEastAsia" w:hAnsi="Cambria Math"/>
                <w:sz w:val="20"/>
                <w:szCs w:val="20"/>
              </w:rPr>
              <m:t>-</m:t>
            </m:r>
          </m:sup>
        </m:sSup>
        <m:sSub>
          <m:sSubPr>
            <m:ctrlPr>
              <w:rPr>
                <w:rFonts w:ascii="Cambria Math" w:hAnsi="Cambria Math"/>
                <w:sz w:val="20"/>
                <w:szCs w:val="20"/>
              </w:rPr>
            </m:ctrlPr>
          </m:sSubPr>
          <m:e>
            <m:r>
              <w:rPr>
                <w:rFonts w:ascii="Cambria Math" w:hAnsi="Cambria Math"/>
                <w:sz w:val="20"/>
                <w:szCs w:val="20"/>
              </w:rPr>
              <m:t xml:space="preserve"> </m:t>
            </m:r>
          </m:e>
          <m:sub>
            <m:r>
              <m:rPr>
                <m:sty m:val="p"/>
              </m:rPr>
              <w:rPr>
                <w:rFonts w:ascii="Cambria Math" w:hAnsi="Cambria Math"/>
                <w:sz w:val="20"/>
                <w:szCs w:val="20"/>
              </w:rPr>
              <m:t>(</m:t>
            </m:r>
            <m:r>
              <m:rPr>
                <m:sty m:val="p"/>
              </m:rPr>
              <w:rPr>
                <w:rFonts w:ascii="Cambria Math" w:hAnsi="Cambria Math"/>
                <w:sz w:val="20"/>
                <w:szCs w:val="20"/>
              </w:rPr>
              <m:t>aq</m:t>
            </m:r>
            <m:r>
              <m:rPr>
                <m:sty m:val="p"/>
              </m:rPr>
              <w:rPr>
                <w:rFonts w:ascii="Cambria Math" w:hAnsi="Cambria Math"/>
                <w:sz w:val="20"/>
                <w:szCs w:val="20"/>
              </w:rPr>
              <m:t>)</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 xml:space="preserve"> </m:t>
            </m:r>
          </m:e>
          <m:sub>
            <m:r>
              <m:rPr>
                <m:sty m:val="p"/>
              </m:rPr>
              <w:rPr>
                <w:rFonts w:ascii="Cambria Math" w:hAnsi="Cambria Math"/>
                <w:sz w:val="20"/>
                <w:szCs w:val="20"/>
              </w:rPr>
              <m:t>(g)</m:t>
            </m:r>
          </m:sub>
        </m:sSub>
        <m:r>
          <w:rPr>
            <w:rFonts w:ascii="Cambria Math" w:hAnsi="Cambria Math"/>
            <w:sz w:val="20"/>
            <w:szCs w:val="20"/>
          </w:rPr>
          <m:t>+</m:t>
        </m:r>
        <m:sSub>
          <m:sSubPr>
            <m:ctrlPr>
              <w:rPr>
                <w:rFonts w:ascii="Cambria Math" w:hAnsi="Cambria Math"/>
                <w:sz w:val="20"/>
                <w:szCs w:val="20"/>
              </w:rPr>
            </m:ctrlPr>
          </m:sSubPr>
          <m:e>
            <m:sSup>
              <m:sSupPr>
                <m:ctrlPr>
                  <w:rPr>
                    <w:rFonts w:ascii="Cambria Math" w:eastAsiaTheme="minorEastAsia" w:hAnsi="Cambria Math"/>
                    <w:i/>
                    <w:sz w:val="20"/>
                    <w:szCs w:val="20"/>
                  </w:rPr>
                </m:ctrlPr>
              </m:sSupPr>
              <m:e>
                <m:r>
                  <w:rPr>
                    <w:rFonts w:ascii="Cambria Math" w:eastAsiaTheme="minorEastAsia" w:hAnsi="Cambria Math"/>
                    <w:sz w:val="20"/>
                    <w:szCs w:val="20"/>
                  </w:rPr>
                  <m:t>Zn</m:t>
                </m:r>
              </m:e>
              <m:sup>
                <m:r>
                  <w:rPr>
                    <w:rFonts w:ascii="Cambria Math" w:eastAsiaTheme="minorEastAsia" w:hAnsi="Cambria Math"/>
                    <w:sz w:val="20"/>
                    <w:szCs w:val="20"/>
                  </w:rPr>
                  <m:t>2+</m:t>
                </m:r>
              </m:sup>
            </m:sSup>
            <m:r>
              <w:rPr>
                <w:rFonts w:ascii="Cambria Math" w:hAnsi="Cambria Math"/>
                <w:sz w:val="20"/>
                <w:szCs w:val="20"/>
              </w:rPr>
              <m:t xml:space="preserve"> </m:t>
            </m:r>
          </m:e>
          <m:sub>
            <m:d>
              <m:dPr>
                <m:ctrlPr>
                  <w:rPr>
                    <w:rFonts w:ascii="Cambria Math" w:hAnsi="Cambria Math"/>
                    <w:sz w:val="20"/>
                    <w:szCs w:val="20"/>
                  </w:rPr>
                </m:ctrlPr>
              </m:dPr>
              <m:e>
                <m:r>
                  <m:rPr>
                    <m:sty m:val="p"/>
                  </m:rPr>
                  <w:rPr>
                    <w:rFonts w:ascii="Cambria Math" w:hAnsi="Cambria Math"/>
                    <w:sz w:val="20"/>
                    <w:szCs w:val="20"/>
                  </w:rPr>
                  <m:t>aq</m:t>
                </m:r>
              </m:e>
            </m:d>
          </m:sub>
        </m:sSub>
      </m:oMath>
    </w:p>
    <w:p w:rsidR="00993875" w:rsidRDefault="00993875" w:rsidP="00993875">
      <w:pPr>
        <w:tabs>
          <w:tab w:val="left" w:pos="1701"/>
          <w:tab w:val="left" w:pos="1985"/>
        </w:tabs>
        <w:ind w:left="1980" w:hanging="1980"/>
      </w:pPr>
      <w:r>
        <w:t>Entsorgung:</w:t>
      </w:r>
      <w:r>
        <w:tab/>
      </w:r>
      <w:r>
        <w:tab/>
      </w:r>
      <w:r>
        <w:tab/>
        <w:t>Das Filterpapier sollte zuerst abgespült werden und dann im Feststoffabfall entsorgt werden. Das Produkt wird in den Schwermetallabfall gegeben.</w:t>
      </w:r>
    </w:p>
    <w:p w:rsidR="00993875" w:rsidRDefault="00993875" w:rsidP="00993875">
      <w:pPr>
        <w:tabs>
          <w:tab w:val="left" w:pos="1701"/>
          <w:tab w:val="left" w:pos="1985"/>
        </w:tabs>
        <w:ind w:left="1980" w:hanging="1980"/>
        <w:jc w:val="left"/>
      </w:pPr>
      <w:r>
        <w:t>Literatur:</w:t>
      </w:r>
      <w:r>
        <w:tab/>
      </w:r>
      <w:r>
        <w:tab/>
      </w:r>
      <w:r>
        <w:rPr>
          <w:color w:val="auto"/>
        </w:rPr>
        <w:t xml:space="preserve">H. </w:t>
      </w:r>
      <w:proofErr w:type="spellStart"/>
      <w:r>
        <w:rPr>
          <w:color w:val="auto"/>
        </w:rPr>
        <w:t>Schmidkunz</w:t>
      </w:r>
      <w:proofErr w:type="spellEnd"/>
      <w:r>
        <w:rPr>
          <w:color w:val="auto"/>
        </w:rPr>
        <w:t xml:space="preserve">, Chemische Freihandversuche, Kleine Versuche mit großer Wirkung, </w:t>
      </w:r>
      <w:proofErr w:type="spellStart"/>
      <w:r>
        <w:rPr>
          <w:color w:val="auto"/>
        </w:rPr>
        <w:t>Aulis</w:t>
      </w:r>
      <w:proofErr w:type="spellEnd"/>
      <w:r>
        <w:rPr>
          <w:color w:val="auto"/>
        </w:rPr>
        <w:t xml:space="preserve"> Verlag, 2011, S. 72.</w:t>
      </w:r>
      <w:r w:rsidRPr="00F031CE">
        <w:t xml:space="preserve"> </w:t>
      </w:r>
      <w:r>
        <w:tab/>
      </w:r>
    </w:p>
    <w:p w:rsidR="00993875" w:rsidRPr="00C01960" w:rsidRDefault="00993875" w:rsidP="00993875">
      <w:pPr>
        <w:tabs>
          <w:tab w:val="left" w:pos="1701"/>
          <w:tab w:val="left" w:pos="1985"/>
        </w:tabs>
        <w:ind w:left="1980" w:hanging="1980"/>
        <w:jc w:val="left"/>
        <w:rPr>
          <w:rFonts w:eastAsiaTheme="minorEastAsia"/>
        </w:rPr>
      </w:pPr>
      <w:r>
        <w:tab/>
      </w:r>
      <w:r>
        <w:tab/>
        <w:t xml:space="preserve">Cornelsen Verlag GmbH (Hrsg.), Prof. </w:t>
      </w:r>
      <w:proofErr w:type="spellStart"/>
      <w:r>
        <w:t>Blumes</w:t>
      </w:r>
      <w:proofErr w:type="spellEnd"/>
      <w:r>
        <w:t xml:space="preserve"> Bildungsserver für Chemie, </w:t>
      </w:r>
      <w:hyperlink r:id="rId15" w:history="1">
        <w:r w:rsidRPr="004B0488">
          <w:rPr>
            <w:rStyle w:val="Hyperlink"/>
          </w:rPr>
          <w:t>http://www.chemieunterricht.de/dc2/nh3/f-d-h2o.htm</w:t>
        </w:r>
      </w:hyperlink>
      <w:r>
        <w:t xml:space="preserve"> (Zuletzt abgerufen am 27.07.16)</w:t>
      </w:r>
    </w:p>
    <w:p w:rsidR="00993875" w:rsidRPr="00CC307A" w:rsidRDefault="00993875" w:rsidP="00993875">
      <w:pPr>
        <w:tabs>
          <w:tab w:val="left" w:pos="1701"/>
          <w:tab w:val="left" w:pos="1985"/>
        </w:tabs>
        <w:ind w:left="1980" w:hanging="1980"/>
      </w:pPr>
      <w:r>
        <w:rPr>
          <w:noProof/>
          <w:lang w:eastAsia="de-DE"/>
        </w:rPr>
        <mc:AlternateContent>
          <mc:Choice Requires="wps">
            <w:drawing>
              <wp:inline distT="0" distB="0" distL="0" distR="0">
                <wp:extent cx="5873115" cy="1158240"/>
                <wp:effectExtent l="13970" t="12065" r="8890" b="1079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582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3875" w:rsidRDefault="00993875" w:rsidP="00993875">
                            <w:pPr>
                              <w:spacing w:after="0"/>
                              <w:rPr>
                                <w:color w:val="auto"/>
                              </w:rPr>
                            </w:pPr>
                            <w:r>
                              <w:rPr>
                                <w:color w:val="auto"/>
                              </w:rPr>
                              <w:t>Es muss beachtet werden, dass Ammoniumnitrat, Zinkstaub und Ammoniumchlorid nicht in einem Mörser gemischt werden.</w:t>
                            </w:r>
                          </w:p>
                          <w:p w:rsidR="00993875" w:rsidRPr="00E10A2C" w:rsidRDefault="00993875" w:rsidP="00993875">
                            <w:pPr>
                              <w:rPr>
                                <w:bCs/>
                                <w:color w:val="auto"/>
                              </w:rPr>
                            </w:pPr>
                            <w:r>
                              <w:rPr>
                                <w:bCs/>
                                <w:color w:val="auto"/>
                              </w:rPr>
                              <w:t>Dieser Versuch kann beispielsweise eingesetzt werden, um einen Zusammenhang zwischen den Begriffen Aktivierungsenergie und Katalysator zu schaffen.</w:t>
                            </w:r>
                          </w:p>
                        </w:txbxContent>
                      </wps:txbx>
                      <wps:bodyPr rot="0" vert="horz" wrap="square" lIns="91440" tIns="45720" rIns="91440" bIns="45720" anchor="t" anchorCtr="0" upright="1">
                        <a:noAutofit/>
                      </wps:bodyPr>
                    </wps:wsp>
                  </a:graphicData>
                </a:graphic>
              </wp:inline>
            </w:drawing>
          </mc:Choice>
          <mc:Fallback>
            <w:pict>
              <v:shape id="Textfeld 1" o:spid="_x0000_s1028" type="#_x0000_t202" style="width:462.45pt;height: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" fillcolor="white [3201]" strokecolor="#ed7d31 [3205]" strokeweight="1pt">
                <v:stroke dashstyle="dash"/>
                <v:shadow color="#868686"/>
                <v:textbox>
                  <w:txbxContent>
                    <w:p w:rsidR="00993875" w:rsidRDefault="00993875" w:rsidP="00993875">
                      <w:pPr>
                        <w:spacing w:after="0"/>
                        <w:rPr>
                          <w:color w:val="auto"/>
                        </w:rPr>
                      </w:pPr>
                      <w:r>
                        <w:rPr>
                          <w:color w:val="auto"/>
                        </w:rPr>
                        <w:t>Es muss beachtet werden, dass Ammoniumnitrat, Zinkstaub und Ammoniumchlorid nicht in einem Mörser gemischt werden.</w:t>
                      </w:r>
                    </w:p>
                    <w:p w:rsidR="00993875" w:rsidRPr="00E10A2C" w:rsidRDefault="00993875" w:rsidP="00993875">
                      <w:pPr>
                        <w:rPr>
                          <w:bCs/>
                          <w:color w:val="auto"/>
                        </w:rPr>
                      </w:pPr>
                      <w:r>
                        <w:rPr>
                          <w:bCs/>
                          <w:color w:val="auto"/>
                        </w:rPr>
                        <w:t>Dieser Versuch kann beispielsweise eingesetzt werden, um einen Zusammenhang zwischen den Begriffen Aktivierungsenergie und Katalysator zu schaffen.</w:t>
                      </w:r>
                    </w:p>
                  </w:txbxContent>
                </v:textbox>
                <w10:anchorlock/>
              </v:shape>
            </w:pict>
          </mc:Fallback>
        </mc:AlternateContent>
      </w:r>
    </w:p>
    <w:p w:rsidR="00792833" w:rsidRDefault="00792833"/>
    <w:sectPr w:rsidR="0079283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Utsaah">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1B2"/>
    <w:rsid w:val="001621B2"/>
    <w:rsid w:val="00792833"/>
    <w:rsid w:val="00993875"/>
    <w:rsid w:val="00B9391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0FA197-03F9-4A3D-A4B2-BBE35A840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3875"/>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993875"/>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93875"/>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93875"/>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93875"/>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993875"/>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993875"/>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99387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9387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9387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93875"/>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993875"/>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993875"/>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993875"/>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993875"/>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993875"/>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99387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9387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93875"/>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993875"/>
    <w:pPr>
      <w:spacing w:line="240" w:lineRule="auto"/>
    </w:pPr>
    <w:rPr>
      <w:bCs/>
      <w:color w:val="auto"/>
      <w:sz w:val="18"/>
      <w:szCs w:val="18"/>
    </w:rPr>
  </w:style>
  <w:style w:type="character" w:styleId="Hyperlink">
    <w:name w:val="Hyperlink"/>
    <w:basedOn w:val="Absatz-Standardschriftart"/>
    <w:uiPriority w:val="99"/>
    <w:unhideWhenUsed/>
    <w:rsid w:val="009938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chemieunterricht.de/dc2/nh3/f-d-h2o.ht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236</Words>
  <Characters>1488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3</cp:revision>
  <cp:lastPrinted>2016-08-10T10:53:00Z</cp:lastPrinted>
  <dcterms:created xsi:type="dcterms:W3CDTF">2016-08-08T15:42:00Z</dcterms:created>
  <dcterms:modified xsi:type="dcterms:W3CDTF">2016-08-10T10:53:00Z</dcterms:modified>
</cp:coreProperties>
</file>