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872774"/>
    <w:p w14:paraId="19DE1D1A" w14:textId="7DC87273" w:rsidR="005463A0" w:rsidRDefault="005463A0" w:rsidP="006A41BD">
      <w:pPr>
        <w:pStyle w:val="berschrift2"/>
        <w:rPr>
          <w:color w:val="auto"/>
        </w:rPr>
      </w:pPr>
      <w:r>
        <w:rPr>
          <w:noProof/>
          <w:lang w:eastAsia="de-DE"/>
        </w:rPr>
        <mc:AlternateContent>
          <mc:Choice Requires="wps">
            <w:drawing>
              <wp:anchor distT="0" distB="0" distL="114300" distR="114300" simplePos="0" relativeHeight="251660288" behindDoc="0" locked="0" layoutInCell="1" allowOverlap="1" wp14:anchorId="3C2D67AA" wp14:editId="34EEA6EC">
                <wp:simplePos x="0" y="0"/>
                <wp:positionH relativeFrom="column">
                  <wp:posOffset>-3810</wp:posOffset>
                </wp:positionH>
                <wp:positionV relativeFrom="paragraph">
                  <wp:posOffset>378460</wp:posOffset>
                </wp:positionV>
                <wp:extent cx="5832475" cy="1056005"/>
                <wp:effectExtent l="0" t="0" r="34925" b="36195"/>
                <wp:wrapThrough wrapText="bothSides">
                  <wp:wrapPolygon edited="0">
                    <wp:start x="0" y="0"/>
                    <wp:lineTo x="0" y="21821"/>
                    <wp:lineTo x="21635" y="21821"/>
                    <wp:lineTo x="21635" y="0"/>
                    <wp:lineTo x="0" y="0"/>
                  </wp:wrapPolygon>
                </wp:wrapThrough>
                <wp:docPr id="42" name="Textfeld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05600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2B8518A5" w14:textId="77777777" w:rsidR="005463A0" w:rsidRPr="00F01BBE" w:rsidRDefault="005463A0" w:rsidP="005463A0">
                            <w:pPr>
                              <w:rPr>
                                <w:color w:val="1F497D"/>
                              </w:rPr>
                            </w:pPr>
                            <w:r>
                              <w:rPr>
                                <w:color w:val="1F497D"/>
                              </w:rPr>
                              <w:t>In diesem Versuch soll ein Nachweis für Nitrate vorgestellt werden, den die SuS selbst durchführen können. Dieser Versuch bietet sich auch zur Durchführung mit Haushaltschemikalien an (Düngemittel). Dadurch wird ein stärkerer Bezug zur Lebenswelt der Schüler hergestellt, der zusätzlich motivierend wirkt.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D67AA" id="_x0000_t202" coordsize="21600,21600" o:spt="202" path="m0,0l0,21600,21600,21600,21600,0xe">
                <v:stroke joinstyle="miter"/>
                <v:path gradientshapeok="t" o:connecttype="rect"/>
              </v:shapetype>
              <v:shape id="Textfeld 42" o:spid="_x0000_s1026" type="#_x0000_t202" style="position:absolute;left:0;text-align:left;margin-left:-.3pt;margin-top:29.8pt;width:459.25pt;height: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" strokecolor="#4bacc6" strokeweight="1pt">
                <v:stroke dashstyle="dash"/>
                <v:textbox>
                  <w:txbxContent>
                    <w:p w14:paraId="2B8518A5" w14:textId="77777777" w:rsidR="005463A0" w:rsidRPr="00F01BBE" w:rsidRDefault="005463A0" w:rsidP="005463A0">
                      <w:pPr>
                        <w:rPr>
                          <w:color w:val="1F497D"/>
                        </w:rPr>
                      </w:pPr>
                      <w:r>
                        <w:rPr>
                          <w:color w:val="1F497D"/>
                        </w:rPr>
                        <w:t xml:space="preserve">In diesem Versuch soll ein Nachweis für Nitrate vorgestellt werden, den die </w:t>
                      </w:r>
                      <w:proofErr w:type="spellStart"/>
                      <w:r>
                        <w:rPr>
                          <w:color w:val="1F497D"/>
                        </w:rPr>
                        <w:t>SuS</w:t>
                      </w:r>
                      <w:proofErr w:type="spellEnd"/>
                      <w:r>
                        <w:rPr>
                          <w:color w:val="1F497D"/>
                        </w:rPr>
                        <w:t xml:space="preserve"> selbst durc</w:t>
                      </w:r>
                      <w:r>
                        <w:rPr>
                          <w:color w:val="1F497D"/>
                        </w:rPr>
                        <w:t>h</w:t>
                      </w:r>
                      <w:r>
                        <w:rPr>
                          <w:color w:val="1F497D"/>
                        </w:rPr>
                        <w:t>führen können. Dieser Versuch bietet sich auch zur Durchführung mit Haushaltschemikalien an (Düngemittel). Dadurch wird ein stärkerer Bezug zur Lebenswelt der Schüler hergestellt, der zusätzlich motivierend wirkt.</w:t>
                      </w:r>
                    </w:p>
                  </w:txbxContent>
                </v:textbox>
                <w10:wrap type="through"/>
              </v:shape>
            </w:pict>
          </mc:Fallback>
        </mc:AlternateContent>
      </w:r>
      <w:r>
        <w:rPr>
          <w:color w:val="auto"/>
        </w:rPr>
        <w:t>Nitratnachweis durch Ringprobe</w:t>
      </w:r>
      <w:bookmarkEnd w:id="0"/>
    </w:p>
    <w:p w14:paraId="790F1E52" w14:textId="77777777" w:rsidR="005463A0" w:rsidRDefault="005463A0" w:rsidP="005463A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463A0" w:rsidRPr="00F01BBE" w14:paraId="4CA19091" w14:textId="77777777" w:rsidTr="00E063AD">
        <w:tc>
          <w:tcPr>
            <w:tcW w:w="9322" w:type="dxa"/>
            <w:gridSpan w:val="9"/>
            <w:shd w:val="clear" w:color="auto" w:fill="4F81BD"/>
            <w:vAlign w:val="center"/>
          </w:tcPr>
          <w:p w14:paraId="540B329D" w14:textId="77777777" w:rsidR="005463A0" w:rsidRPr="00F01BBE" w:rsidRDefault="005463A0" w:rsidP="00E063AD">
            <w:pPr>
              <w:spacing w:after="0"/>
              <w:jc w:val="center"/>
              <w:rPr>
                <w:rFonts w:cs="Times New Roman"/>
                <w:b/>
                <w:bCs/>
              </w:rPr>
            </w:pPr>
            <w:r w:rsidRPr="00F01BBE">
              <w:rPr>
                <w:rFonts w:cs="Times New Roman"/>
                <w:b/>
                <w:bCs/>
              </w:rPr>
              <w:t>Gefahrenstoffe</w:t>
            </w:r>
          </w:p>
        </w:tc>
      </w:tr>
      <w:tr w:rsidR="005463A0" w:rsidRPr="00F01BBE" w14:paraId="72D99F8F"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D33FB37" w14:textId="77777777" w:rsidR="005463A0" w:rsidRPr="00FB6C26" w:rsidRDefault="005463A0" w:rsidP="00E063AD">
            <w:pPr>
              <w:spacing w:after="0" w:line="276" w:lineRule="auto"/>
              <w:jc w:val="center"/>
              <w:rPr>
                <w:rFonts w:cs="Times New Roman"/>
                <w:sz w:val="20"/>
                <w:szCs w:val="20"/>
              </w:rPr>
            </w:pPr>
            <w:r w:rsidRPr="00FB6C26">
              <w:rPr>
                <w:rFonts w:cs="Times New Roman"/>
                <w:sz w:val="20"/>
                <w:szCs w:val="20"/>
              </w:rPr>
              <w:t>konz. Schwefelsäure</w:t>
            </w:r>
          </w:p>
        </w:tc>
        <w:tc>
          <w:tcPr>
            <w:tcW w:w="3177" w:type="dxa"/>
            <w:gridSpan w:val="3"/>
            <w:tcBorders>
              <w:top w:val="single" w:sz="8" w:space="0" w:color="4F81BD"/>
              <w:bottom w:val="single" w:sz="8" w:space="0" w:color="4F81BD"/>
            </w:tcBorders>
            <w:shd w:val="clear" w:color="auto" w:fill="auto"/>
            <w:vAlign w:val="center"/>
          </w:tcPr>
          <w:p w14:paraId="7E396670" w14:textId="77777777" w:rsidR="005463A0" w:rsidRPr="00FB6C26" w:rsidRDefault="005463A0" w:rsidP="00E063AD">
            <w:pPr>
              <w:spacing w:after="0"/>
              <w:jc w:val="center"/>
              <w:rPr>
                <w:rFonts w:cs="Times New Roman"/>
                <w:sz w:val="20"/>
                <w:szCs w:val="20"/>
              </w:rPr>
            </w:pPr>
            <w:r>
              <w:rPr>
                <w:rFonts w:cs="Times New Roman"/>
                <w:sz w:val="20"/>
                <w:szCs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B1BC175" w14:textId="77777777" w:rsidR="005463A0" w:rsidRPr="00FB6C26" w:rsidRDefault="005463A0" w:rsidP="00E063AD">
            <w:pPr>
              <w:spacing w:after="0"/>
              <w:jc w:val="center"/>
              <w:rPr>
                <w:rFonts w:cs="Times New Roman"/>
                <w:sz w:val="20"/>
                <w:szCs w:val="20"/>
              </w:rPr>
            </w:pPr>
            <w:r>
              <w:rPr>
                <w:rFonts w:cs="Times New Roman"/>
                <w:sz w:val="20"/>
                <w:szCs w:val="20"/>
              </w:rPr>
              <w:t>P: 280, 301+330+331, 305+351+338, 309+310</w:t>
            </w:r>
          </w:p>
        </w:tc>
      </w:tr>
      <w:tr w:rsidR="005463A0" w:rsidRPr="00F01BBE" w14:paraId="50DE284D"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1CB2D1C" w14:textId="77777777" w:rsidR="005463A0" w:rsidRPr="00FB6C26" w:rsidRDefault="005463A0" w:rsidP="00E063AD">
            <w:pPr>
              <w:spacing w:after="0" w:line="276" w:lineRule="auto"/>
              <w:jc w:val="center"/>
              <w:rPr>
                <w:rFonts w:cs="Times New Roman"/>
                <w:sz w:val="20"/>
                <w:szCs w:val="20"/>
              </w:rPr>
            </w:pPr>
            <w:r w:rsidRPr="00FB6C26">
              <w:rPr>
                <w:rFonts w:cs="Times New Roman"/>
                <w:sz w:val="20"/>
                <w:szCs w:val="20"/>
              </w:rPr>
              <w:t>verd. Schwefelsäure</w:t>
            </w:r>
            <w:r>
              <w:rPr>
                <w:rFonts w:cs="Times New Roman"/>
                <w:sz w:val="20"/>
                <w:szCs w:val="20"/>
              </w:rPr>
              <w:t xml:space="preserve"> (2,5 M)</w:t>
            </w:r>
          </w:p>
        </w:tc>
        <w:tc>
          <w:tcPr>
            <w:tcW w:w="3177" w:type="dxa"/>
            <w:gridSpan w:val="3"/>
            <w:tcBorders>
              <w:top w:val="single" w:sz="8" w:space="0" w:color="4F81BD"/>
              <w:bottom w:val="single" w:sz="8" w:space="0" w:color="4F81BD"/>
            </w:tcBorders>
            <w:shd w:val="clear" w:color="auto" w:fill="auto"/>
            <w:vAlign w:val="center"/>
          </w:tcPr>
          <w:p w14:paraId="0A8E3DE7" w14:textId="77777777" w:rsidR="005463A0" w:rsidRPr="00FB6C26" w:rsidRDefault="005463A0" w:rsidP="00E063AD">
            <w:pPr>
              <w:spacing w:after="0"/>
              <w:jc w:val="center"/>
              <w:rPr>
                <w:rFonts w:cs="Times New Roman"/>
                <w:sz w:val="20"/>
                <w:szCs w:val="20"/>
              </w:rPr>
            </w:pPr>
            <w:r>
              <w:rPr>
                <w:rFonts w:cs="Times New Roman"/>
                <w:sz w:val="20"/>
                <w:szCs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DE97946" w14:textId="77777777" w:rsidR="005463A0" w:rsidRPr="00FB6C26" w:rsidRDefault="005463A0" w:rsidP="00E063AD">
            <w:pPr>
              <w:spacing w:after="0"/>
              <w:jc w:val="center"/>
              <w:rPr>
                <w:rFonts w:cs="Times New Roman"/>
                <w:sz w:val="20"/>
                <w:szCs w:val="20"/>
              </w:rPr>
            </w:pPr>
            <w:r>
              <w:rPr>
                <w:rFonts w:cs="Times New Roman"/>
                <w:sz w:val="20"/>
                <w:szCs w:val="20"/>
              </w:rPr>
              <w:t>P: 280, 301+330+331, 305+351+338, 309+310</w:t>
            </w:r>
          </w:p>
        </w:tc>
      </w:tr>
      <w:tr w:rsidR="005463A0" w:rsidRPr="00F01BBE" w14:paraId="4C0F64DB"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5BD02D0" w14:textId="77777777" w:rsidR="005463A0" w:rsidRPr="00FB6C26" w:rsidRDefault="005463A0" w:rsidP="00E063AD">
            <w:pPr>
              <w:spacing w:after="0" w:line="276" w:lineRule="auto"/>
              <w:jc w:val="center"/>
              <w:rPr>
                <w:rFonts w:cs="Times New Roman"/>
                <w:bCs/>
                <w:sz w:val="20"/>
                <w:szCs w:val="20"/>
              </w:rPr>
            </w:pPr>
            <w:r>
              <w:rPr>
                <w:rFonts w:cs="Times New Roman"/>
                <w:bCs/>
                <w:sz w:val="20"/>
                <w:szCs w:val="20"/>
              </w:rPr>
              <w:t>Calciumnitrat-Tetrahydrat</w:t>
            </w:r>
          </w:p>
        </w:tc>
        <w:tc>
          <w:tcPr>
            <w:tcW w:w="3177" w:type="dxa"/>
            <w:gridSpan w:val="3"/>
            <w:tcBorders>
              <w:top w:val="single" w:sz="8" w:space="0" w:color="4F81BD"/>
              <w:bottom w:val="single" w:sz="8" w:space="0" w:color="4F81BD"/>
            </w:tcBorders>
            <w:shd w:val="clear" w:color="auto" w:fill="auto"/>
            <w:vAlign w:val="center"/>
          </w:tcPr>
          <w:p w14:paraId="6F21D487" w14:textId="77777777" w:rsidR="005463A0" w:rsidRPr="00FB6C26" w:rsidRDefault="005463A0" w:rsidP="00E063AD">
            <w:pPr>
              <w:spacing w:after="0"/>
              <w:jc w:val="center"/>
              <w:rPr>
                <w:rFonts w:cs="Times New Roman"/>
                <w:sz w:val="20"/>
                <w:szCs w:val="20"/>
              </w:rPr>
            </w:pPr>
            <w:r>
              <w:rPr>
                <w:rFonts w:cs="Times New Roman"/>
                <w:sz w:val="20"/>
                <w:szCs w:val="20"/>
              </w:rPr>
              <w:t>H: 272, 219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FE33FB1" w14:textId="77777777" w:rsidR="005463A0" w:rsidRPr="00FB6C26" w:rsidRDefault="005463A0" w:rsidP="00E063AD">
            <w:pPr>
              <w:spacing w:after="0"/>
              <w:jc w:val="center"/>
              <w:rPr>
                <w:rFonts w:cs="Times New Roman"/>
                <w:sz w:val="20"/>
                <w:szCs w:val="20"/>
              </w:rPr>
            </w:pPr>
            <w:r>
              <w:rPr>
                <w:rFonts w:cs="Times New Roman"/>
                <w:sz w:val="20"/>
                <w:szCs w:val="20"/>
              </w:rPr>
              <w:t>P: 210, 221, 305+351+338</w:t>
            </w:r>
          </w:p>
        </w:tc>
      </w:tr>
      <w:tr w:rsidR="005463A0" w:rsidRPr="00F01BBE" w14:paraId="5D547F6A"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59D13A2" w14:textId="77777777" w:rsidR="005463A0" w:rsidRPr="00FB6C26" w:rsidRDefault="005463A0" w:rsidP="00E063AD">
            <w:pPr>
              <w:spacing w:after="0" w:line="276" w:lineRule="auto"/>
              <w:jc w:val="center"/>
              <w:rPr>
                <w:rFonts w:cs="Times New Roman"/>
                <w:bCs/>
                <w:sz w:val="20"/>
                <w:szCs w:val="20"/>
              </w:rPr>
            </w:pPr>
            <w:r w:rsidRPr="00FB6C26">
              <w:rPr>
                <w:rFonts w:cs="Times New Roman"/>
                <w:bCs/>
                <w:sz w:val="20"/>
                <w:szCs w:val="20"/>
              </w:rPr>
              <w:t>Eisen(II)-sulfat-</w:t>
            </w:r>
            <w:r>
              <w:rPr>
                <w:rFonts w:cs="Times New Roman"/>
                <w:bCs/>
                <w:sz w:val="20"/>
                <w:szCs w:val="20"/>
              </w:rPr>
              <w:t>Heptahydrat-</w:t>
            </w:r>
            <w:r w:rsidRPr="00FB6C26">
              <w:rPr>
                <w:rFonts w:cs="Times New Roman"/>
                <w:bCs/>
                <w:sz w:val="20"/>
                <w:szCs w:val="20"/>
              </w:rPr>
              <w:t xml:space="preserve">Lösung </w:t>
            </w:r>
          </w:p>
        </w:tc>
        <w:tc>
          <w:tcPr>
            <w:tcW w:w="3177" w:type="dxa"/>
            <w:gridSpan w:val="3"/>
            <w:tcBorders>
              <w:top w:val="single" w:sz="8" w:space="0" w:color="4F81BD"/>
              <w:bottom w:val="single" w:sz="8" w:space="0" w:color="4F81BD"/>
            </w:tcBorders>
            <w:shd w:val="clear" w:color="auto" w:fill="auto"/>
            <w:vAlign w:val="center"/>
          </w:tcPr>
          <w:p w14:paraId="7606DACE" w14:textId="77777777" w:rsidR="005463A0" w:rsidRPr="00FB6C26" w:rsidRDefault="005463A0" w:rsidP="00E063AD">
            <w:pPr>
              <w:spacing w:after="0"/>
              <w:jc w:val="center"/>
              <w:rPr>
                <w:rFonts w:cs="Times New Roman"/>
                <w:sz w:val="20"/>
                <w:szCs w:val="20"/>
              </w:rPr>
            </w:pPr>
            <w:r w:rsidRPr="00FB6C26">
              <w:rPr>
                <w:rFonts w:cs="Times New Roman"/>
                <w:sz w:val="20"/>
                <w:szCs w:val="20"/>
              </w:rPr>
              <w:t xml:space="preserve">H: </w:t>
            </w:r>
            <w:r>
              <w:rPr>
                <w:rFonts w:cs="Times New Roman"/>
                <w:sz w:val="20"/>
                <w:szCs w:val="20"/>
              </w:rPr>
              <w:t>302, 319, 315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0051071" w14:textId="77777777" w:rsidR="005463A0" w:rsidRPr="00FB6C26" w:rsidRDefault="005463A0" w:rsidP="00E063AD">
            <w:pPr>
              <w:spacing w:after="0"/>
              <w:jc w:val="center"/>
              <w:rPr>
                <w:rFonts w:cs="Times New Roman"/>
                <w:sz w:val="20"/>
                <w:szCs w:val="20"/>
              </w:rPr>
            </w:pPr>
            <w:r w:rsidRPr="00FB6C26">
              <w:rPr>
                <w:rFonts w:cs="Times New Roman"/>
                <w:sz w:val="20"/>
                <w:szCs w:val="20"/>
              </w:rPr>
              <w:t xml:space="preserve">P: </w:t>
            </w:r>
            <w:r>
              <w:rPr>
                <w:rFonts w:cs="Times New Roman"/>
                <w:sz w:val="20"/>
                <w:szCs w:val="20"/>
              </w:rPr>
              <w:t>302+352, 305+351+338</w:t>
            </w:r>
          </w:p>
        </w:tc>
      </w:tr>
      <w:tr w:rsidR="005463A0" w:rsidRPr="00F01BBE" w14:paraId="34A55129" w14:textId="77777777" w:rsidTr="00E063AD">
        <w:trPr>
          <w:trHeight w:val="1123"/>
        </w:trPr>
        <w:tc>
          <w:tcPr>
            <w:tcW w:w="1009" w:type="dxa"/>
            <w:tcBorders>
              <w:top w:val="single" w:sz="8" w:space="0" w:color="4F81BD"/>
              <w:left w:val="single" w:sz="8" w:space="0" w:color="4F81BD"/>
              <w:bottom w:val="single" w:sz="8" w:space="0" w:color="4F81BD"/>
            </w:tcBorders>
            <w:shd w:val="clear" w:color="auto" w:fill="auto"/>
            <w:vAlign w:val="center"/>
          </w:tcPr>
          <w:p w14:paraId="0DA8E07A" w14:textId="77777777" w:rsidR="005463A0" w:rsidRPr="00F01BBE" w:rsidRDefault="005463A0" w:rsidP="00E063AD">
            <w:pPr>
              <w:spacing w:after="0"/>
              <w:jc w:val="center"/>
              <w:rPr>
                <w:rFonts w:cs="Times New Roman"/>
                <w:b/>
                <w:bCs/>
              </w:rPr>
            </w:pPr>
            <w:r w:rsidRPr="00E47994">
              <w:rPr>
                <w:b/>
                <w:noProof/>
                <w:lang w:eastAsia="de-DE"/>
              </w:rPr>
              <w:drawing>
                <wp:inline distT="0" distB="0" distL="0" distR="0" wp14:anchorId="42866E1F" wp14:editId="3A3B728E">
                  <wp:extent cx="498475" cy="498475"/>
                  <wp:effectExtent l="0" t="0" r="9525" b="9525"/>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2B856EE"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15A67C84" wp14:editId="2F03A002">
                  <wp:extent cx="498475" cy="498475"/>
                  <wp:effectExtent l="0" t="0" r="9525" b="952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4EB9B31"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391E2E37" wp14:editId="55DFC461">
                  <wp:extent cx="512445" cy="512445"/>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AD5927"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047D9343" wp14:editId="60871288">
                  <wp:extent cx="512445" cy="51244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E420967"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38DED727" wp14:editId="57F0D4A6">
                  <wp:extent cx="554355" cy="554355"/>
                  <wp:effectExtent l="0" t="0" r="4445" b="444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54355" cy="55435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66FA542"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4D1ACA35" wp14:editId="17CC2E4B">
                  <wp:extent cx="512445" cy="51244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423C419"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0F18C153" wp14:editId="43BD4AF8">
                  <wp:extent cx="512445" cy="51244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26B4F1"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4FF1E050" wp14:editId="0D373D33">
                  <wp:extent cx="512445" cy="51244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6F874CA" w14:textId="77777777" w:rsidR="005463A0" w:rsidRPr="00F01BBE" w:rsidRDefault="005463A0" w:rsidP="00E063AD">
            <w:pPr>
              <w:spacing w:after="0"/>
              <w:jc w:val="center"/>
              <w:rPr>
                <w:rFonts w:cs="Times New Roman"/>
              </w:rPr>
            </w:pPr>
            <w:r w:rsidRPr="001D7484">
              <w:rPr>
                <w:noProof/>
                <w:lang w:eastAsia="de-DE"/>
              </w:rPr>
              <w:drawing>
                <wp:inline distT="0" distB="0" distL="0" distR="0" wp14:anchorId="1B3382BB" wp14:editId="222AF210">
                  <wp:extent cx="512445" cy="51244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r>
    </w:tbl>
    <w:p w14:paraId="45275B66" w14:textId="77777777" w:rsidR="005463A0" w:rsidRDefault="005463A0" w:rsidP="005463A0"/>
    <w:p w14:paraId="11EA392A" w14:textId="77777777" w:rsidR="005463A0" w:rsidRPr="0002120C" w:rsidRDefault="005463A0" w:rsidP="005463A0">
      <w:pPr>
        <w:tabs>
          <w:tab w:val="left" w:pos="1701"/>
          <w:tab w:val="left" w:pos="1985"/>
        </w:tabs>
        <w:ind w:left="1980" w:hanging="1980"/>
        <w:rPr>
          <w:color w:val="auto"/>
        </w:rPr>
      </w:pPr>
      <w:r>
        <w:rPr>
          <w:color w:val="auto"/>
        </w:rPr>
        <w:t>Materialien:</w:t>
      </w:r>
      <w:r>
        <w:rPr>
          <w:color w:val="auto"/>
        </w:rPr>
        <w:tab/>
      </w:r>
      <w:r>
        <w:rPr>
          <w:color w:val="auto"/>
        </w:rPr>
        <w:tab/>
      </w:r>
      <w:r w:rsidRPr="0002120C">
        <w:rPr>
          <w:color w:val="auto"/>
        </w:rPr>
        <w:t>Reagenzgläser, Reagenzglasständer, 3</w:t>
      </w:r>
      <w:r>
        <w:rPr>
          <w:color w:val="auto"/>
        </w:rPr>
        <w:t xml:space="preserve"> x</w:t>
      </w:r>
      <w:r w:rsidRPr="0002120C">
        <w:rPr>
          <w:color w:val="auto"/>
        </w:rPr>
        <w:t xml:space="preserve"> </w:t>
      </w:r>
      <w:r>
        <w:rPr>
          <w:color w:val="auto"/>
        </w:rPr>
        <w:t>50 mL-</w:t>
      </w:r>
      <w:r w:rsidRPr="0002120C">
        <w:rPr>
          <w:color w:val="auto"/>
        </w:rPr>
        <w:t>Bechergläser, Glaspipetten, Pipettenhütchen</w:t>
      </w:r>
    </w:p>
    <w:p w14:paraId="619FC351" w14:textId="77777777" w:rsidR="005463A0" w:rsidRPr="0002120C" w:rsidRDefault="005463A0" w:rsidP="005463A0">
      <w:pPr>
        <w:tabs>
          <w:tab w:val="left" w:pos="1701"/>
          <w:tab w:val="left" w:pos="1985"/>
        </w:tabs>
        <w:ind w:left="1980" w:hanging="1980"/>
        <w:rPr>
          <w:color w:val="auto"/>
        </w:rPr>
      </w:pPr>
      <w:r w:rsidRPr="0002120C">
        <w:rPr>
          <w:color w:val="auto"/>
        </w:rPr>
        <w:t>Chemi</w:t>
      </w:r>
      <w:r>
        <w:rPr>
          <w:color w:val="auto"/>
        </w:rPr>
        <w:t>kalien:</w:t>
      </w:r>
      <w:r>
        <w:rPr>
          <w:color w:val="auto"/>
        </w:rPr>
        <w:tab/>
      </w:r>
      <w:r>
        <w:rPr>
          <w:color w:val="auto"/>
        </w:rPr>
        <w:tab/>
        <w:t>gesättigte Eisen(II)-sulfat</w:t>
      </w:r>
      <w:r w:rsidRPr="0002120C">
        <w:rPr>
          <w:color w:val="auto"/>
        </w:rPr>
        <w:t xml:space="preserve">-Lösung, verd. Schwefelsäure, konz. Schwefelsäure, </w:t>
      </w:r>
      <w:r>
        <w:rPr>
          <w:color w:val="auto"/>
        </w:rPr>
        <w:t>Calciumnitrat-Lösung</w:t>
      </w:r>
      <w:r w:rsidRPr="0002120C">
        <w:rPr>
          <w:color w:val="auto"/>
        </w:rPr>
        <w:t>, destilliertes Wasser</w:t>
      </w:r>
    </w:p>
    <w:p w14:paraId="4914EA12" w14:textId="77777777" w:rsidR="005463A0" w:rsidRDefault="005463A0" w:rsidP="005463A0">
      <w:pPr>
        <w:tabs>
          <w:tab w:val="left" w:pos="1701"/>
          <w:tab w:val="left" w:pos="1985"/>
        </w:tabs>
        <w:ind w:left="1980" w:hanging="1980"/>
        <w:rPr>
          <w:color w:val="auto"/>
        </w:rPr>
      </w:pPr>
      <w:r w:rsidRPr="0002120C">
        <w:rPr>
          <w:color w:val="auto"/>
        </w:rPr>
        <w:t>Durchführung:</w:t>
      </w:r>
      <w:r w:rsidRPr="0002120C">
        <w:rPr>
          <w:color w:val="auto"/>
        </w:rPr>
        <w:tab/>
      </w:r>
      <w:r w:rsidRPr="0002120C">
        <w:rPr>
          <w:color w:val="auto"/>
        </w:rPr>
        <w:tab/>
      </w:r>
      <w:r>
        <w:rPr>
          <w:color w:val="auto"/>
        </w:rPr>
        <w:t xml:space="preserve">Aus Calciumnitrat-Tetrahydrat wird eine Lösung hergestellt. In einem Reagenzglas werden </w:t>
      </w:r>
      <w:r w:rsidRPr="0002120C">
        <w:rPr>
          <w:color w:val="auto"/>
        </w:rPr>
        <w:t>2 mL der Probelösung</w:t>
      </w:r>
      <w:r>
        <w:rPr>
          <w:color w:val="auto"/>
        </w:rPr>
        <w:t>en (Calciumnitratlösung bzw. destilliertes Wasser als Referenzprobe)</w:t>
      </w:r>
      <w:r w:rsidRPr="0002120C">
        <w:rPr>
          <w:color w:val="auto"/>
        </w:rPr>
        <w:t xml:space="preserve"> mit 3 Tropfen einer kalt gesättigten Eisensulfat-Lösung versetzt. Anschließend wird die Probe mit </w:t>
      </w:r>
      <w:r>
        <w:rPr>
          <w:color w:val="auto"/>
        </w:rPr>
        <w:t xml:space="preserve">2,5 M </w:t>
      </w:r>
      <w:r w:rsidRPr="0002120C">
        <w:rPr>
          <w:color w:val="auto"/>
        </w:rPr>
        <w:t xml:space="preserve">Schwefelsäure angesäuert. </w:t>
      </w:r>
      <w:r>
        <w:rPr>
          <w:color w:val="auto"/>
        </w:rPr>
        <w:t xml:space="preserve">Nun wird die entstandene Lösung mit </w:t>
      </w:r>
      <w:r w:rsidRPr="0002120C">
        <w:rPr>
          <w:color w:val="auto"/>
        </w:rPr>
        <w:t>konzentrierter Schwefelsäure unters</w:t>
      </w:r>
      <w:r>
        <w:rPr>
          <w:color w:val="auto"/>
        </w:rPr>
        <w:t>ch</w:t>
      </w:r>
      <w:r w:rsidRPr="0002120C">
        <w:rPr>
          <w:color w:val="auto"/>
        </w:rPr>
        <w:t>ichtet, indem das Reagenzglas schräg gehalten wird und die konzentrierte Schwefelsäure</w:t>
      </w:r>
      <w:r>
        <w:rPr>
          <w:color w:val="auto"/>
        </w:rPr>
        <w:t xml:space="preserve"> mit der Pipette bis zum Grund des Reagenzglases gebracht und dann vorsichtig unter die Lösung pipettiert wird</w:t>
      </w:r>
      <w:r w:rsidRPr="0002120C">
        <w:rPr>
          <w:color w:val="auto"/>
        </w:rPr>
        <w:t>.</w:t>
      </w:r>
    </w:p>
    <w:p w14:paraId="426480BE" w14:textId="77777777" w:rsidR="005463A0" w:rsidRDefault="005463A0" w:rsidP="005463A0">
      <w:pPr>
        <w:tabs>
          <w:tab w:val="left" w:pos="1701"/>
          <w:tab w:val="left" w:pos="1985"/>
        </w:tabs>
        <w:ind w:left="1980" w:hanging="1980"/>
        <w:rPr>
          <w:color w:val="auto"/>
        </w:rPr>
      </w:pPr>
      <w:r w:rsidRPr="0002120C">
        <w:rPr>
          <w:color w:val="auto"/>
        </w:rPr>
        <w:t>Beobachtung:</w:t>
      </w:r>
      <w:r w:rsidRPr="0002120C">
        <w:rPr>
          <w:color w:val="auto"/>
        </w:rPr>
        <w:tab/>
      </w:r>
      <w:r w:rsidRPr="0002120C">
        <w:rPr>
          <w:color w:val="auto"/>
        </w:rPr>
        <w:tab/>
      </w:r>
      <w:r>
        <w:rPr>
          <w:color w:val="auto"/>
        </w:rPr>
        <w:t>Es lässt sich beobachten, dass</w:t>
      </w:r>
      <w:r w:rsidRPr="0002120C">
        <w:rPr>
          <w:color w:val="auto"/>
        </w:rPr>
        <w:t xml:space="preserve"> sich mit destilliertem Wasser eine Grenzschicht zwischen der wässrigen Lösung und der Schwefelsäure </w:t>
      </w:r>
      <w:r>
        <w:rPr>
          <w:color w:val="auto"/>
        </w:rPr>
        <w:t xml:space="preserve">bildet. Bei Calciumnitrat kann ebenfalls die Ausbildung von zwei Schichten </w:t>
      </w:r>
      <w:r>
        <w:rPr>
          <w:color w:val="auto"/>
        </w:rPr>
        <w:lastRenderedPageBreak/>
        <w:t>beobachtet werden. In der oberen Schicht ist zudem die Bildung eines weißen Niederschlages zu erkennen. Nach wenigen Minuten bildet sich an der Grenze zwischen den Schichten ein Ring aus braunem Niederschlag.</w:t>
      </w:r>
      <w:r w:rsidRPr="0002120C">
        <w:rPr>
          <w:color w:val="auto"/>
        </w:rPr>
        <w:tab/>
        <w:t xml:space="preserve"> </w:t>
      </w:r>
    </w:p>
    <w:p w14:paraId="24ABC873" w14:textId="77777777" w:rsidR="005463A0" w:rsidRDefault="005463A0" w:rsidP="005463A0">
      <w:pPr>
        <w:keepNext/>
        <w:tabs>
          <w:tab w:val="left" w:pos="1701"/>
          <w:tab w:val="left" w:pos="1985"/>
        </w:tabs>
        <w:ind w:left="1980" w:hanging="1980"/>
      </w:pPr>
      <w:r>
        <w:rPr>
          <w:noProof/>
          <w:lang w:eastAsia="de-DE"/>
        </w:rPr>
        <mc:AlternateContent>
          <mc:Choice Requires="wps">
            <w:drawing>
              <wp:anchor distT="0" distB="0" distL="114300" distR="114300" simplePos="0" relativeHeight="251662336" behindDoc="0" locked="0" layoutInCell="1" allowOverlap="1" wp14:anchorId="64951724" wp14:editId="46A5BD49">
                <wp:simplePos x="0" y="0"/>
                <wp:positionH relativeFrom="column">
                  <wp:posOffset>5151755</wp:posOffset>
                </wp:positionH>
                <wp:positionV relativeFrom="paragraph">
                  <wp:posOffset>826135</wp:posOffset>
                </wp:positionV>
                <wp:extent cx="725170" cy="429895"/>
                <wp:effectExtent l="0" t="635" r="3175" b="1270"/>
                <wp:wrapTight wrapText="bothSides">
                  <wp:wrapPolygon edited="0">
                    <wp:start x="0" y="0"/>
                    <wp:lineTo x="21600" y="0"/>
                    <wp:lineTo x="21600" y="21600"/>
                    <wp:lineTo x="0" y="21600"/>
                    <wp:lineTo x="0" y="0"/>
                  </wp:wrapPolygon>
                </wp:wrapTight>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F37D" w14:textId="77777777" w:rsidR="005463A0" w:rsidRDefault="005463A0" w:rsidP="005463A0">
                            <w:r>
                              <w:t>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1724" id="Textfeld 14" o:spid="_x0000_s1027" type="#_x0000_t202" style="position:absolute;left:0;text-align:left;margin-left:405.65pt;margin-top:65.05pt;width:57.1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" filled="f" stroked="f">
                <v:textbox inset=",7.2pt,,7.2pt">
                  <w:txbxContent>
                    <w:p w14:paraId="5E31F37D" w14:textId="77777777" w:rsidR="005463A0" w:rsidRDefault="005463A0" w:rsidP="005463A0">
                      <w:r>
                        <w:t>Ring</w:t>
                      </w:r>
                    </w:p>
                  </w:txbxContent>
                </v:textbox>
                <w10:wrap type="tight"/>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F5B6100" wp14:editId="4FA521C7">
                <wp:simplePos x="0" y="0"/>
                <wp:positionH relativeFrom="column">
                  <wp:posOffset>4375785</wp:posOffset>
                </wp:positionH>
                <wp:positionV relativeFrom="paragraph">
                  <wp:posOffset>1018540</wp:posOffset>
                </wp:positionV>
                <wp:extent cx="838835" cy="400050"/>
                <wp:effectExtent l="57785" t="66040" r="81280" b="10541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835" cy="400050"/>
                        </a:xfrm>
                        <a:prstGeom prst="straightConnector1">
                          <a:avLst/>
                        </a:prstGeom>
                        <a:noFill/>
                        <a:ln w="1270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896C3" id="_x0000_t32" coordsize="21600,21600" o:spt="32" o:oned="t" path="m0,0l21600,21600e" filled="f">
                <v:path arrowok="t" fillok="f" o:connecttype="none"/>
                <o:lock v:ext="edit" shapetype="t"/>
              </v:shapetype>
              <v:shape id="Gerade Verbindung mit Pfeil 13" o:spid="_x0000_s1026" type="#_x0000_t32" style="position:absolute;margin-left:344.55pt;margin-top:80.2pt;width:66.0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" strokeweight="1pt">
                <v:stroke endarrow="open"/>
                <v:shadow on="t" opacity="24903f" mv:blur="40000f" origin=",.5" offset="0,20000emu"/>
              </v:shape>
            </w:pict>
          </mc:Fallback>
        </mc:AlternateContent>
      </w:r>
      <w:r>
        <w:rPr>
          <w:color w:val="auto"/>
        </w:rPr>
        <w:tab/>
      </w:r>
      <w:r>
        <w:rPr>
          <w:color w:val="auto"/>
        </w:rPr>
        <w:tab/>
      </w:r>
      <w:r>
        <w:rPr>
          <w:color w:val="auto"/>
        </w:rPr>
        <w:tab/>
      </w:r>
      <w:r>
        <w:rPr>
          <w:color w:val="auto"/>
        </w:rPr>
        <w:tab/>
      </w:r>
      <w:r>
        <w:rPr>
          <w:color w:val="auto"/>
        </w:rPr>
        <w:tab/>
      </w:r>
      <w:r>
        <w:rPr>
          <w:noProof/>
          <w:color w:val="auto"/>
          <w:lang w:eastAsia="de-DE"/>
        </w:rPr>
        <w:drawing>
          <wp:inline distT="0" distB="0" distL="0" distR="0" wp14:anchorId="0D0DB4E6" wp14:editId="3B288636">
            <wp:extent cx="2854325" cy="1981200"/>
            <wp:effectExtent l="0" t="0" r="0" b="0"/>
            <wp:docPr id="3" name="Bild 3" descr="P726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7260283"/>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854325" cy="1981200"/>
                    </a:xfrm>
                    <a:prstGeom prst="rect">
                      <a:avLst/>
                    </a:prstGeom>
                    <a:noFill/>
                    <a:ln>
                      <a:noFill/>
                    </a:ln>
                  </pic:spPr>
                </pic:pic>
              </a:graphicData>
            </a:graphic>
          </wp:inline>
        </w:drawing>
      </w:r>
    </w:p>
    <w:p w14:paraId="6D35ABEE" w14:textId="77777777" w:rsidR="005463A0" w:rsidRPr="0002120C" w:rsidRDefault="005463A0" w:rsidP="005463A0">
      <w:pPr>
        <w:pStyle w:val="Beschriftung"/>
        <w:ind w:left="2124"/>
      </w:pPr>
      <w:r w:rsidRPr="004F168F">
        <w:rPr>
          <w:b/>
        </w:rPr>
        <w:t>Abbildung 4:</w:t>
      </w:r>
      <w:r>
        <w:t xml:space="preserve"> Eine positive Ringprobe (links) wird durch das Bilden eines Eisennitrosylkomplexes hervorgerufen. Hierbei wird ein brauner Ring zwischen der Probenlösung (oben) und der konz. Schwefelsäure (unten) gebildet.</w:t>
      </w:r>
    </w:p>
    <w:p w14:paraId="3F11C697" w14:textId="77777777" w:rsidR="005463A0" w:rsidRPr="0002120C" w:rsidRDefault="005463A0" w:rsidP="005463A0">
      <w:pPr>
        <w:tabs>
          <w:tab w:val="left" w:pos="1701"/>
          <w:tab w:val="left" w:pos="1985"/>
        </w:tabs>
        <w:ind w:left="1980" w:hanging="1980"/>
        <w:rPr>
          <w:color w:val="auto"/>
        </w:rPr>
      </w:pPr>
      <w:r w:rsidRPr="0002120C">
        <w:rPr>
          <w:color w:val="auto"/>
        </w:rPr>
        <w:t>Deutung:</w:t>
      </w:r>
      <w:r w:rsidRPr="0002120C">
        <w:rPr>
          <w:color w:val="auto"/>
        </w:rPr>
        <w:tab/>
      </w:r>
      <w:r w:rsidRPr="0002120C">
        <w:rPr>
          <w:color w:val="auto"/>
        </w:rPr>
        <w:tab/>
      </w:r>
      <w:r>
        <w:rPr>
          <w:color w:val="auto"/>
        </w:rPr>
        <w:t>Die Bildung eines braunen Rings ist auf die Entstehung eines Eisennitrosylkomplexes zurückzuführen. Dies dient als Nachweis für Nitrat.</w:t>
      </w:r>
    </w:p>
    <w:p w14:paraId="27FC75E2" w14:textId="77777777" w:rsidR="005463A0" w:rsidRDefault="005463A0" w:rsidP="005463A0">
      <w:pPr>
        <w:tabs>
          <w:tab w:val="left" w:pos="1701"/>
          <w:tab w:val="left" w:pos="1985"/>
        </w:tabs>
        <w:ind w:left="1980" w:hanging="1980"/>
        <w:rPr>
          <w:color w:val="auto"/>
          <w:shd w:val="clear" w:color="auto" w:fill="FFFFFF"/>
        </w:rPr>
      </w:pPr>
      <w:r w:rsidRPr="0002120C">
        <w:rPr>
          <w:color w:val="auto"/>
        </w:rPr>
        <w:tab/>
      </w:r>
      <w:r w:rsidRPr="0002120C">
        <w:rPr>
          <w:color w:val="auto"/>
        </w:rPr>
        <w:tab/>
      </w:r>
      <w:r w:rsidRPr="0002120C">
        <w:rPr>
          <w:color w:val="auto"/>
          <w:shd w:val="clear" w:color="auto" w:fill="FFFFFF"/>
        </w:rPr>
        <w:t xml:space="preserve">Nitrat </w:t>
      </w:r>
      <w:r>
        <w:rPr>
          <w:color w:val="auto"/>
          <w:shd w:val="clear" w:color="auto" w:fill="FFFFFF"/>
        </w:rPr>
        <w:t xml:space="preserve">wird </w:t>
      </w:r>
      <w:r w:rsidRPr="0002120C">
        <w:rPr>
          <w:color w:val="auto"/>
          <w:shd w:val="clear" w:color="auto" w:fill="FFFFFF"/>
        </w:rPr>
        <w:t>mit Eisen(II) zu</w:t>
      </w:r>
      <w:r w:rsidRPr="0002120C">
        <w:rPr>
          <w:rStyle w:val="apple-converted-space"/>
          <w:color w:val="auto"/>
          <w:shd w:val="clear" w:color="auto" w:fill="FFFFFF"/>
        </w:rPr>
        <w:t xml:space="preserve"> </w:t>
      </w:r>
      <w:r w:rsidRPr="0002120C">
        <w:rPr>
          <w:rStyle w:val="chemsum"/>
          <w:color w:val="auto"/>
          <w:shd w:val="clear" w:color="auto" w:fill="FFFFFF"/>
        </w:rPr>
        <w:t>Stickstoffmonooxid</w:t>
      </w:r>
      <w:r w:rsidRPr="0002120C">
        <w:rPr>
          <w:rStyle w:val="apple-converted-space"/>
          <w:color w:val="auto"/>
          <w:shd w:val="clear" w:color="auto" w:fill="FFFFFF"/>
        </w:rPr>
        <w:t xml:space="preserve"> </w:t>
      </w:r>
      <w:r w:rsidRPr="0002120C">
        <w:rPr>
          <w:color w:val="auto"/>
          <w:shd w:val="clear" w:color="auto" w:fill="FFFFFF"/>
        </w:rPr>
        <w:t xml:space="preserve">reduziert, das mit überschüssigem Eisen(II) </w:t>
      </w:r>
      <w:r>
        <w:rPr>
          <w:color w:val="auto"/>
          <w:shd w:val="clear" w:color="auto" w:fill="FFFFFF"/>
        </w:rPr>
        <w:t>den</w:t>
      </w:r>
      <w:r w:rsidRPr="0002120C">
        <w:rPr>
          <w:color w:val="auto"/>
          <w:shd w:val="clear" w:color="auto" w:fill="FFFFFF"/>
        </w:rPr>
        <w:t xml:space="preserve"> braunrote</w:t>
      </w:r>
      <w:r>
        <w:rPr>
          <w:color w:val="auto"/>
          <w:shd w:val="clear" w:color="auto" w:fill="FFFFFF"/>
        </w:rPr>
        <w:t>n Komplex</w:t>
      </w:r>
      <w:r w:rsidRPr="0002120C">
        <w:rPr>
          <w:color w:val="auto"/>
          <w:shd w:val="clear" w:color="auto" w:fill="FFFFFF"/>
        </w:rPr>
        <w:t xml:space="preserve"> bildet. </w:t>
      </w:r>
      <w:r>
        <w:rPr>
          <w:color w:val="auto"/>
          <w:shd w:val="clear" w:color="auto" w:fill="FFFFFF"/>
        </w:rPr>
        <w:t>Die</w:t>
      </w:r>
      <w:r w:rsidRPr="0002120C">
        <w:rPr>
          <w:color w:val="auto"/>
          <w:shd w:val="clear" w:color="auto" w:fill="FFFFFF"/>
        </w:rPr>
        <w:t xml:space="preserve"> Reduktion von Nitrat </w:t>
      </w:r>
      <w:r>
        <w:rPr>
          <w:color w:val="auto"/>
          <w:shd w:val="clear" w:color="auto" w:fill="FFFFFF"/>
        </w:rPr>
        <w:t>erfolgt jedoch nur</w:t>
      </w:r>
      <w:r w:rsidRPr="0002120C">
        <w:rPr>
          <w:color w:val="auto"/>
          <w:shd w:val="clear" w:color="auto" w:fill="FFFFFF"/>
        </w:rPr>
        <w:t xml:space="preserve"> in stark saurer Lösung</w:t>
      </w:r>
      <w:r>
        <w:rPr>
          <w:color w:val="auto"/>
          <w:shd w:val="clear" w:color="auto" w:fill="FFFFFF"/>
        </w:rPr>
        <w:t>.</w:t>
      </w:r>
      <w:r w:rsidRPr="0002120C">
        <w:rPr>
          <w:color w:val="auto"/>
          <w:shd w:val="clear" w:color="auto" w:fill="FFFFFF"/>
        </w:rPr>
        <w:t xml:space="preserve"> </w:t>
      </w:r>
      <w:r>
        <w:rPr>
          <w:color w:val="auto"/>
          <w:shd w:val="clear" w:color="auto" w:fill="FFFFFF"/>
        </w:rPr>
        <w:t>D</w:t>
      </w:r>
      <w:r w:rsidRPr="0002120C">
        <w:rPr>
          <w:color w:val="auto"/>
          <w:shd w:val="clear" w:color="auto" w:fill="FFFFFF"/>
        </w:rPr>
        <w:t xml:space="preserve">er Eisennitrosylkomplex bildet sich an der Grenze zwischen der konzentrierten Schwefelsäure und der </w:t>
      </w:r>
      <w:r>
        <w:rPr>
          <w:color w:val="auto"/>
          <w:shd w:val="clear" w:color="auto" w:fill="FFFFFF"/>
        </w:rPr>
        <w:t>Probenlösung.</w:t>
      </w:r>
    </w:p>
    <w:p w14:paraId="1B432F94" w14:textId="77777777" w:rsidR="005463A0" w:rsidRPr="00B765FD" w:rsidRDefault="005463A0" w:rsidP="005463A0">
      <w:pPr>
        <w:tabs>
          <w:tab w:val="left" w:pos="1701"/>
          <w:tab w:val="left" w:pos="1985"/>
        </w:tabs>
        <w:ind w:left="1980" w:hanging="1980"/>
        <w:rPr>
          <w:color w:val="auto"/>
          <w:shd w:val="clear" w:color="auto" w:fill="FFFFFF"/>
        </w:rPr>
      </w:pPr>
      <w:r>
        <w:tab/>
      </w:r>
      <w:r>
        <w:tab/>
      </w:r>
      <w:r>
        <w:rPr>
          <w:noProof/>
          <w:lang w:eastAsia="de-DE"/>
        </w:rPr>
        <w:drawing>
          <wp:inline distT="0" distB="0" distL="0" distR="0" wp14:anchorId="26F96368" wp14:editId="48674919">
            <wp:extent cx="3893185" cy="221615"/>
            <wp:effectExtent l="0" t="0" r="0" b="6985"/>
            <wp:docPr id="2" name="Bild 2" descr="latex-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image-13"/>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3893185" cy="221615"/>
                    </a:xfrm>
                    <a:prstGeom prst="rect">
                      <a:avLst/>
                    </a:prstGeom>
                    <a:noFill/>
                    <a:ln>
                      <a:noFill/>
                    </a:ln>
                  </pic:spPr>
                </pic:pic>
              </a:graphicData>
            </a:graphic>
          </wp:inline>
        </w:drawing>
      </w:r>
      <w:r w:rsidRPr="00E47994">
        <w:rPr>
          <w:rFonts w:ascii="Cambria Math" w:hAnsi="Cambria Math"/>
          <w:color w:val="auto"/>
          <w:shd w:val="clear" w:color="auto" w:fill="FFFFFF"/>
        </w:rPr>
        <w:br/>
      </w:r>
      <w:r>
        <w:rPr>
          <w:noProof/>
          <w:color w:val="auto"/>
          <w:shd w:val="clear" w:color="auto" w:fill="FFFFFF"/>
          <w:lang w:eastAsia="de-DE"/>
        </w:rPr>
        <w:drawing>
          <wp:inline distT="0" distB="0" distL="0" distR="0" wp14:anchorId="3D6C2663" wp14:editId="790989CA">
            <wp:extent cx="3477260" cy="221615"/>
            <wp:effectExtent l="0" t="0" r="2540" b="6985"/>
            <wp:docPr id="1" name="Bild 1" descr="latex-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x-image-14"/>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3477260" cy="221615"/>
                    </a:xfrm>
                    <a:prstGeom prst="rect">
                      <a:avLst/>
                    </a:prstGeom>
                    <a:noFill/>
                    <a:ln>
                      <a:noFill/>
                    </a:ln>
                  </pic:spPr>
                </pic:pic>
              </a:graphicData>
            </a:graphic>
          </wp:inline>
        </w:drawing>
      </w:r>
    </w:p>
    <w:p w14:paraId="7B84F763" w14:textId="77777777" w:rsidR="005463A0" w:rsidRPr="00B765FD" w:rsidRDefault="005463A0" w:rsidP="005463A0">
      <w:pPr>
        <w:tabs>
          <w:tab w:val="left" w:pos="1701"/>
          <w:tab w:val="left" w:pos="1985"/>
        </w:tabs>
        <w:rPr>
          <w:color w:val="auto"/>
          <w:shd w:val="clear" w:color="auto" w:fill="FFFFFF"/>
        </w:rPr>
      </w:pPr>
      <w:r>
        <w:rPr>
          <w:color w:val="auto"/>
          <w:shd w:val="clear" w:color="auto" w:fill="FFFFFF"/>
        </w:rPr>
        <w:t>Entsorgung:</w:t>
      </w:r>
      <w:r>
        <w:rPr>
          <w:color w:val="auto"/>
          <w:shd w:val="clear" w:color="auto" w:fill="FFFFFF"/>
        </w:rPr>
        <w:tab/>
      </w:r>
      <w:r>
        <w:rPr>
          <w:color w:val="auto"/>
          <w:shd w:val="clear" w:color="auto" w:fill="FFFFFF"/>
        </w:rPr>
        <w:tab/>
        <w:t>Die Lösung wird nach Neutralisation in den Säure-Base-Abfall gegeben.</w:t>
      </w:r>
    </w:p>
    <w:p w14:paraId="37137AC4" w14:textId="6EA21898" w:rsidR="005463A0" w:rsidRDefault="005463A0" w:rsidP="005463A0">
      <w:pPr>
        <w:tabs>
          <w:tab w:val="left" w:pos="1701"/>
          <w:tab w:val="left" w:pos="1985"/>
        </w:tabs>
        <w:ind w:left="1980" w:hanging="1980"/>
        <w:rPr>
          <w:color w:val="auto"/>
          <w:shd w:val="clear" w:color="auto" w:fill="FFFFFF"/>
        </w:rPr>
      </w:pPr>
      <w:r w:rsidRPr="0002120C">
        <w:rPr>
          <w:color w:val="auto"/>
          <w:shd w:val="clear" w:color="auto" w:fill="FFFFFF"/>
        </w:rPr>
        <w:t>Literatur:</w:t>
      </w:r>
      <w:r w:rsidRPr="0002120C">
        <w:rPr>
          <w:color w:val="auto"/>
          <w:shd w:val="clear" w:color="auto" w:fill="FFFFFF"/>
        </w:rPr>
        <w:tab/>
      </w:r>
      <w:r w:rsidRPr="0002120C">
        <w:rPr>
          <w:color w:val="auto"/>
          <w:shd w:val="clear" w:color="auto" w:fill="FFFFFF"/>
        </w:rPr>
        <w:tab/>
      </w:r>
      <w:r w:rsidR="006A41BD">
        <w:rPr>
          <w:color w:val="auto"/>
          <w:shd w:val="clear" w:color="auto" w:fill="FFFFFF"/>
        </w:rPr>
        <w:t xml:space="preserve">[1] </w:t>
      </w:r>
      <w:bookmarkStart w:id="1" w:name="_GoBack"/>
      <w:bookmarkEnd w:id="1"/>
      <w:r w:rsidRPr="0002120C">
        <w:rPr>
          <w:color w:val="auto"/>
          <w:shd w:val="clear" w:color="auto" w:fill="FFFFFF"/>
        </w:rPr>
        <w:t>G. Jander, E. Blasius, Lehrbuch der analytischen und präparativen anorganischen Chemie, S. Hirzel Verlag Stuttgart, 1</w:t>
      </w:r>
      <w:r>
        <w:rPr>
          <w:color w:val="auto"/>
          <w:shd w:val="clear" w:color="auto" w:fill="FFFFFF"/>
        </w:rPr>
        <w:t>6</w:t>
      </w:r>
      <w:r w:rsidRPr="0002120C">
        <w:rPr>
          <w:color w:val="auto"/>
          <w:shd w:val="clear" w:color="auto" w:fill="FFFFFF"/>
        </w:rPr>
        <w:t xml:space="preserve">. Auflage, </w:t>
      </w:r>
      <w:r>
        <w:rPr>
          <w:color w:val="auto"/>
          <w:shd w:val="clear" w:color="auto" w:fill="FFFFFF"/>
        </w:rPr>
        <w:t>2006</w:t>
      </w:r>
      <w:r w:rsidRPr="0002120C">
        <w:rPr>
          <w:color w:val="auto"/>
          <w:shd w:val="clear" w:color="auto" w:fill="FFFFFF"/>
        </w:rPr>
        <w:t>, S. 3</w:t>
      </w:r>
      <w:r>
        <w:rPr>
          <w:color w:val="auto"/>
          <w:shd w:val="clear" w:color="auto" w:fill="FFFFFF"/>
        </w:rPr>
        <w:t>28</w:t>
      </w:r>
      <w:r w:rsidRPr="0002120C">
        <w:rPr>
          <w:color w:val="auto"/>
          <w:shd w:val="clear" w:color="auto" w:fill="FFFFFF"/>
        </w:rPr>
        <w:t>.</w:t>
      </w:r>
    </w:p>
    <w:p w14:paraId="015976F7" w14:textId="77777777" w:rsidR="005463A0" w:rsidRDefault="005463A0" w:rsidP="005463A0">
      <w:pPr>
        <w:tabs>
          <w:tab w:val="left" w:pos="1701"/>
          <w:tab w:val="left" w:pos="1985"/>
        </w:tabs>
        <w:ind w:left="1980" w:hanging="1980"/>
        <w:rPr>
          <w:color w:val="auto"/>
          <w:shd w:val="clear" w:color="auto" w:fill="FFFFFF"/>
        </w:rPr>
      </w:pPr>
    </w:p>
    <w:p w14:paraId="60359953" w14:textId="77777777" w:rsidR="005463A0" w:rsidRDefault="005463A0" w:rsidP="005463A0">
      <w:pPr>
        <w:tabs>
          <w:tab w:val="left" w:pos="1701"/>
          <w:tab w:val="left" w:pos="1985"/>
        </w:tabs>
        <w:ind w:left="1980" w:hanging="1980"/>
        <w:rPr>
          <w:color w:val="auto"/>
          <w:shd w:val="clear" w:color="auto" w:fill="FFFFFF"/>
        </w:rPr>
      </w:pPr>
    </w:p>
    <w:p w14:paraId="0347FCD1" w14:textId="77777777" w:rsidR="005463A0" w:rsidRDefault="005463A0" w:rsidP="005463A0">
      <w:pPr>
        <w:tabs>
          <w:tab w:val="left" w:pos="1701"/>
          <w:tab w:val="left" w:pos="1985"/>
        </w:tabs>
        <w:ind w:left="1980" w:hanging="1980"/>
        <w:rPr>
          <w:color w:val="auto"/>
          <w:shd w:val="clear" w:color="auto" w:fill="FFFFFF"/>
        </w:rPr>
      </w:pPr>
    </w:p>
    <w:p w14:paraId="7BBA9FEF" w14:textId="77777777" w:rsidR="005463A0" w:rsidRDefault="005463A0" w:rsidP="005463A0">
      <w:pPr>
        <w:tabs>
          <w:tab w:val="left" w:pos="1701"/>
          <w:tab w:val="left" w:pos="1985"/>
        </w:tabs>
        <w:ind w:left="1980" w:hanging="1980"/>
        <w:rPr>
          <w:color w:val="auto"/>
          <w:shd w:val="clear" w:color="auto" w:fill="FFFFFF"/>
        </w:rPr>
      </w:pPr>
    </w:p>
    <w:p w14:paraId="41969501" w14:textId="77777777" w:rsidR="005463A0" w:rsidRDefault="005463A0" w:rsidP="005463A0">
      <w:pPr>
        <w:tabs>
          <w:tab w:val="left" w:pos="1701"/>
          <w:tab w:val="left" w:pos="1985"/>
        </w:tabs>
        <w:ind w:left="1980" w:hanging="1980"/>
        <w:rPr>
          <w:color w:val="auto"/>
          <w:shd w:val="clear" w:color="auto" w:fill="FFFFFF"/>
        </w:rPr>
      </w:pPr>
    </w:p>
    <w:p w14:paraId="48DF179C" w14:textId="77777777" w:rsidR="005463A0" w:rsidRPr="0002120C" w:rsidRDefault="005463A0" w:rsidP="005463A0">
      <w:pPr>
        <w:tabs>
          <w:tab w:val="left" w:pos="1701"/>
          <w:tab w:val="left" w:pos="1985"/>
        </w:tabs>
        <w:ind w:left="1980" w:hanging="1980"/>
        <w:rPr>
          <w:color w:val="auto"/>
          <w:shd w:val="clear" w:color="auto" w:fill="FFFFFF"/>
        </w:rPr>
      </w:pPr>
    </w:p>
    <w:p w14:paraId="3199AA1E" w14:textId="77777777" w:rsidR="005463A0" w:rsidRPr="0002120C" w:rsidRDefault="005463A0" w:rsidP="005463A0">
      <w:pPr>
        <w:tabs>
          <w:tab w:val="left" w:pos="1701"/>
          <w:tab w:val="left" w:pos="1985"/>
        </w:tabs>
        <w:ind w:left="1980" w:hanging="1980"/>
        <w:rPr>
          <w:color w:val="auto"/>
        </w:rPr>
      </w:pPr>
      <w:r>
        <w:rPr>
          <w:noProof/>
          <w:lang w:eastAsia="de-DE"/>
        </w:rPr>
        <mc:AlternateContent>
          <mc:Choice Requires="wps">
            <w:drawing>
              <wp:anchor distT="0" distB="0" distL="114300" distR="114300" simplePos="0" relativeHeight="251659264" behindDoc="0" locked="0" layoutInCell="1" allowOverlap="1" wp14:anchorId="7DF804D0" wp14:editId="2EDD9846">
                <wp:simplePos x="0" y="0"/>
                <wp:positionH relativeFrom="character">
                  <wp:posOffset>-4445</wp:posOffset>
                </wp:positionH>
                <wp:positionV relativeFrom="line">
                  <wp:posOffset>4445</wp:posOffset>
                </wp:positionV>
                <wp:extent cx="5741035" cy="2703830"/>
                <wp:effectExtent l="0" t="0" r="24765" b="1397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70383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4857D468" w14:textId="77777777" w:rsidR="005463A0" w:rsidRDefault="005463A0" w:rsidP="005463A0">
                            <w:pPr>
                              <w:rPr>
                                <w:color w:val="auto"/>
                              </w:rPr>
                            </w:pPr>
                            <w:r>
                              <w:rPr>
                                <w:color w:val="auto"/>
                              </w:rPr>
                              <w:t>Der Versuch sollte im Unterricht durchgeführt werden, nachdem Stickstoff als Bestandteil vieler Verbindungen vorgestellt wurde. Daran anschließend bieten sich eventuell auch Nachweise von Stickstoff in organischen Verbindungen an.</w:t>
                            </w:r>
                          </w:p>
                          <w:p w14:paraId="6C7C62AF" w14:textId="77777777" w:rsidR="005463A0" w:rsidRDefault="005463A0" w:rsidP="005463A0">
                            <w:pPr>
                              <w:rPr>
                                <w:color w:val="auto"/>
                              </w:rPr>
                            </w:pPr>
                            <w:r>
                              <w:rPr>
                                <w:color w:val="auto"/>
                              </w:rPr>
                              <w:t>Der Nachweis von Nitraten kann durch die Untersuchung von Alltagschemikalien, insbesondere von Düngemittel ergänzt werden. Dieser Versuch kann aus Gründen der Zeitersparnis auch als Lehrerdemonstrationsexperiment durchgeführt werden.</w:t>
                            </w:r>
                          </w:p>
                          <w:p w14:paraId="7AE2C9A8" w14:textId="77777777" w:rsidR="005463A0" w:rsidRDefault="005463A0" w:rsidP="005463A0">
                            <w:pPr>
                              <w:rPr>
                                <w:color w:val="auto"/>
                              </w:rPr>
                            </w:pPr>
                            <w:r>
                              <w:rPr>
                                <w:color w:val="auto"/>
                              </w:rPr>
                              <w:t xml:space="preserve">Es ist zu beachten, dass das Unterschichten der Probenlösung sehr vorsichtig erfolgen sollte, da anderenfalls schnell eine Durchmischung der Lösungen stattfindet, die zwar zum Ausfall eines Niederschlags führt, die Bildung eines Ringes jedoch nicht mehr erfolgt. </w:t>
                            </w:r>
                          </w:p>
                          <w:p w14:paraId="695F3C6C" w14:textId="77777777" w:rsidR="005463A0" w:rsidRPr="001B59D3" w:rsidRDefault="005463A0" w:rsidP="005463A0">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804D0" id="Textfeld 52" o:spid="_x0000_s1028" type="#_x0000_t202" style="position:absolute;margin-left:-.35pt;margin-top:.35pt;width:452.05pt;height:212.9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" strokecolor="#c0504d" strokeweight="1pt">
                <v:stroke dashstyle="dash"/>
                <v:textbox>
                  <w:txbxContent>
                    <w:p w14:paraId="4857D468" w14:textId="77777777" w:rsidR="005463A0" w:rsidRDefault="005463A0" w:rsidP="005463A0">
                      <w:pPr>
                        <w:rPr>
                          <w:color w:val="auto"/>
                        </w:rPr>
                      </w:pPr>
                      <w:r>
                        <w:rPr>
                          <w:color w:val="auto"/>
                        </w:rPr>
                        <w:t>Der Versuch sollte im Unterricht durchgeführt werden, nachdem Stickstoff als Bestandteil vieler Verbindungen vorgestellt wurde. Daran anschließend bieten sich eventuell auch Nachweise von Stickstoff in organischen Verbindungen an.</w:t>
                      </w:r>
                    </w:p>
                    <w:p w14:paraId="6C7C62AF" w14:textId="77777777" w:rsidR="005463A0" w:rsidRDefault="005463A0" w:rsidP="005463A0">
                      <w:pPr>
                        <w:rPr>
                          <w:color w:val="auto"/>
                        </w:rPr>
                      </w:pPr>
                      <w:r>
                        <w:rPr>
                          <w:color w:val="auto"/>
                        </w:rPr>
                        <w:t>Der Nachweis von Nitraten kann durch die Untersuchung von Alltagschemikalien, insbeso</w:t>
                      </w:r>
                      <w:r>
                        <w:rPr>
                          <w:color w:val="auto"/>
                        </w:rPr>
                        <w:t>n</w:t>
                      </w:r>
                      <w:r>
                        <w:rPr>
                          <w:color w:val="auto"/>
                        </w:rPr>
                        <w:t>dere von Düngemittel ergänzt werden. Dieser Versuch kann aus Gründen der Zeite</w:t>
                      </w:r>
                      <w:r>
                        <w:rPr>
                          <w:color w:val="auto"/>
                        </w:rPr>
                        <w:t>r</w:t>
                      </w:r>
                      <w:r>
                        <w:rPr>
                          <w:color w:val="auto"/>
                        </w:rPr>
                        <w:t>sparnis auch als Lehrerdemonstrationsexperiment durchgeführt werden.</w:t>
                      </w:r>
                    </w:p>
                    <w:p w14:paraId="7AE2C9A8" w14:textId="77777777" w:rsidR="005463A0" w:rsidRDefault="005463A0" w:rsidP="005463A0">
                      <w:pPr>
                        <w:rPr>
                          <w:color w:val="auto"/>
                        </w:rPr>
                      </w:pPr>
                      <w:r>
                        <w:rPr>
                          <w:color w:val="auto"/>
                        </w:rPr>
                        <w:t>Es ist zu beachten, dass das Unterschichten der Probenlösung sehr vorsichtig erfolgen sol</w:t>
                      </w:r>
                      <w:r>
                        <w:rPr>
                          <w:color w:val="auto"/>
                        </w:rPr>
                        <w:t>l</w:t>
                      </w:r>
                      <w:r>
                        <w:rPr>
                          <w:color w:val="auto"/>
                        </w:rPr>
                        <w:t>te, da anderenfalls schnell eine Durchmischung der Lösungen stattfindet, die zwar zum Au</w:t>
                      </w:r>
                      <w:r>
                        <w:rPr>
                          <w:color w:val="auto"/>
                        </w:rPr>
                        <w:t>s</w:t>
                      </w:r>
                      <w:r>
                        <w:rPr>
                          <w:color w:val="auto"/>
                        </w:rPr>
                        <w:t xml:space="preserve">fall eines Niederschlags führt, die Bildung eines Ringes jedoch nicht mehr erfolgt. </w:t>
                      </w:r>
                    </w:p>
                    <w:p w14:paraId="695F3C6C" w14:textId="77777777" w:rsidR="005463A0" w:rsidRPr="001B59D3" w:rsidRDefault="005463A0" w:rsidP="005463A0">
                      <w:pPr>
                        <w:rPr>
                          <w:color w:val="auto"/>
                        </w:rPr>
                      </w:pPr>
                    </w:p>
                  </w:txbxContent>
                </v:textbox>
                <w10:wrap anchory="line"/>
              </v:shape>
            </w:pict>
          </mc:Fallback>
        </mc:AlternateContent>
      </w:r>
      <w:r>
        <w:rPr>
          <w:b/>
          <w:bCs/>
        </w:rPr>
        <w:t>Erforderliche Parameter fehlen oder sind falsch.</w:t>
      </w:r>
    </w:p>
    <w:p w14:paraId="6F2010B2" w14:textId="77777777" w:rsidR="00CE5A70" w:rsidRDefault="00BC25C4"/>
    <w:sectPr w:rsidR="00CE5A70" w:rsidSect="00D76F6E">
      <w:footerReference w:type="even" r:id="rId19"/>
      <w:footerReference w:type="defaul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BFD7" w14:textId="77777777" w:rsidR="00BC25C4" w:rsidRDefault="00BC25C4" w:rsidP="006A41BD">
      <w:pPr>
        <w:spacing w:after="0" w:line="240" w:lineRule="auto"/>
      </w:pPr>
      <w:r>
        <w:separator/>
      </w:r>
    </w:p>
  </w:endnote>
  <w:endnote w:type="continuationSeparator" w:id="0">
    <w:p w14:paraId="02C3090A" w14:textId="77777777" w:rsidR="00BC25C4" w:rsidRDefault="00BC25C4" w:rsidP="006A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3B77" w14:textId="77777777" w:rsidR="006A41BD" w:rsidRDefault="006A41BD"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EFB508E" w14:textId="77777777" w:rsidR="006A41BD" w:rsidRDefault="006A41BD" w:rsidP="006A41B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A55E6" w14:textId="77777777" w:rsidR="006A41BD" w:rsidRDefault="006A41BD"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C25C4">
      <w:rPr>
        <w:rStyle w:val="Seitenzahl"/>
        <w:noProof/>
      </w:rPr>
      <w:t>1</w:t>
    </w:r>
    <w:r>
      <w:rPr>
        <w:rStyle w:val="Seitenzahl"/>
      </w:rPr>
      <w:fldChar w:fldCharType="end"/>
    </w:r>
  </w:p>
  <w:p w14:paraId="21E541CF" w14:textId="77777777" w:rsidR="006A41BD" w:rsidRDefault="006A41BD" w:rsidP="006A41BD">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82B0A" w14:textId="77777777" w:rsidR="00BC25C4" w:rsidRDefault="00BC25C4" w:rsidP="006A41BD">
      <w:pPr>
        <w:spacing w:after="0" w:line="240" w:lineRule="auto"/>
      </w:pPr>
      <w:r>
        <w:separator/>
      </w:r>
    </w:p>
  </w:footnote>
  <w:footnote w:type="continuationSeparator" w:id="0">
    <w:p w14:paraId="3A981C12" w14:textId="77777777" w:rsidR="00BC25C4" w:rsidRDefault="00BC25C4" w:rsidP="006A41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B41"/>
    <w:multiLevelType w:val="hybridMultilevel"/>
    <w:tmpl w:val="33EC4C54"/>
    <w:lvl w:ilvl="0" w:tplc="0DD61954">
      <w:start w:val="1"/>
      <w:numFmt w:val="decimal"/>
      <w:lvlText w:val="4.%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A0"/>
    <w:rsid w:val="005463A0"/>
    <w:rsid w:val="006A41BD"/>
    <w:rsid w:val="00BC25C4"/>
    <w:rsid w:val="00BE2208"/>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46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5463A0"/>
    <w:pPr>
      <w:spacing w:after="200" w:line="360" w:lineRule="auto"/>
      <w:jc w:val="both"/>
    </w:pPr>
    <w:rPr>
      <w:rFonts w:ascii="Cambria" w:eastAsia="Calibri" w:hAnsi="Cambria" w:cs="Arial"/>
      <w:color w:val="1D1B11"/>
      <w:sz w:val="22"/>
      <w:szCs w:val="22"/>
    </w:rPr>
  </w:style>
  <w:style w:type="paragraph" w:styleId="berschrift2">
    <w:name w:val="heading 2"/>
    <w:basedOn w:val="Standard"/>
    <w:next w:val="Standard"/>
    <w:link w:val="berschrift2Zchn1"/>
    <w:uiPriority w:val="9"/>
    <w:qFormat/>
    <w:rsid w:val="005463A0"/>
    <w:pPr>
      <w:keepNext/>
      <w:keepLines/>
      <w:spacing w:before="200"/>
      <w:outlineLvl w:val="1"/>
    </w:pPr>
    <w:rPr>
      <w:rFonts w:eastAsia="MS Gothic"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uiPriority w:val="9"/>
    <w:semiHidden/>
    <w:rsid w:val="005463A0"/>
    <w:rPr>
      <w:rFonts w:asciiTheme="majorHAnsi" w:eastAsiaTheme="majorEastAsia" w:hAnsiTheme="majorHAnsi" w:cstheme="majorBidi"/>
      <w:color w:val="2E74B5" w:themeColor="accent1" w:themeShade="BF"/>
      <w:sz w:val="26"/>
      <w:szCs w:val="26"/>
    </w:rPr>
  </w:style>
  <w:style w:type="character" w:customStyle="1" w:styleId="berschrift2Zchn1">
    <w:name w:val="Überschrift 2 Zchn1"/>
    <w:link w:val="berschrift2"/>
    <w:uiPriority w:val="9"/>
    <w:rsid w:val="005463A0"/>
    <w:rPr>
      <w:rFonts w:ascii="Cambria" w:eastAsia="MS Gothic" w:hAnsi="Cambria" w:cs="Times New Roman"/>
      <w:b/>
      <w:bCs/>
      <w:color w:val="1D1B11"/>
      <w:sz w:val="22"/>
      <w:szCs w:val="26"/>
    </w:rPr>
  </w:style>
  <w:style w:type="paragraph" w:styleId="Beschriftung">
    <w:name w:val="caption"/>
    <w:basedOn w:val="Standard"/>
    <w:next w:val="Standard"/>
    <w:uiPriority w:val="35"/>
    <w:qFormat/>
    <w:rsid w:val="005463A0"/>
    <w:pPr>
      <w:spacing w:line="240" w:lineRule="auto"/>
    </w:pPr>
    <w:rPr>
      <w:bCs/>
      <w:color w:val="auto"/>
      <w:sz w:val="18"/>
      <w:szCs w:val="18"/>
    </w:rPr>
  </w:style>
  <w:style w:type="character" w:customStyle="1" w:styleId="apple-converted-space">
    <w:name w:val="apple-converted-space"/>
    <w:basedOn w:val="Absatz-Standardschriftart"/>
    <w:rsid w:val="005463A0"/>
  </w:style>
  <w:style w:type="character" w:customStyle="1" w:styleId="chemsum">
    <w:name w:val="chemsum"/>
    <w:rsid w:val="005463A0"/>
  </w:style>
  <w:style w:type="paragraph" w:styleId="Fuzeile">
    <w:name w:val="footer"/>
    <w:basedOn w:val="Standard"/>
    <w:link w:val="FuzeileZchn"/>
    <w:uiPriority w:val="99"/>
    <w:unhideWhenUsed/>
    <w:rsid w:val="006A41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41BD"/>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6A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emf"/><Relationship Id="rId18" Type="http://schemas.openxmlformats.org/officeDocument/2006/relationships/image" Target="media/image12.emf"/><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2262</Characters>
  <Application>Microsoft Macintosh Word</Application>
  <DocSecurity>0</DocSecurity>
  <Lines>18</Lines>
  <Paragraphs>5</Paragraphs>
  <ScaleCrop>false</ScaleCrop>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2016-08-11T16:36:00Z</dcterms:created>
  <dcterms:modified xsi:type="dcterms:W3CDTF">2016-08-11T16:36:00Z</dcterms:modified>
</cp:coreProperties>
</file>