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E4D" w:rsidRPr="00FD32C4" w:rsidRDefault="001C7E4D" w:rsidP="001C7E4D">
      <w:pPr>
        <w:pStyle w:val="berschrift2"/>
        <w:contextualSpacing/>
      </w:pPr>
      <w:bookmarkStart w:id="0" w:name="_Toc457933837"/>
      <w:r w:rsidRPr="00FD32C4">
        <w:rPr>
          <w:noProof/>
          <w:lang w:eastAsia="de-DE"/>
        </w:rPr>
        <mc:AlternateContent>
          <mc:Choice Requires="wps">
            <w:drawing>
              <wp:anchor distT="0" distB="0" distL="114300" distR="114300" simplePos="0" relativeHeight="251659264" behindDoc="0" locked="0" layoutInCell="1" allowOverlap="1" wp14:anchorId="615E51CB" wp14:editId="7A74B8E0">
                <wp:simplePos x="0" y="0"/>
                <wp:positionH relativeFrom="column">
                  <wp:posOffset>5080</wp:posOffset>
                </wp:positionH>
                <wp:positionV relativeFrom="paragraph">
                  <wp:posOffset>399415</wp:posOffset>
                </wp:positionV>
                <wp:extent cx="5873115" cy="771525"/>
                <wp:effectExtent l="0" t="0" r="13335" b="28575"/>
                <wp:wrapSquare wrapText="bothSides"/>
                <wp:docPr id="5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715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C7E4D" w:rsidRDefault="001C7E4D" w:rsidP="001C7E4D">
                            <w:pPr>
                              <w:contextualSpacing/>
                              <w:rPr>
                                <w:color w:val="auto"/>
                              </w:rPr>
                            </w:pPr>
                            <w:r>
                              <w:rPr>
                                <w:color w:val="auto"/>
                              </w:rPr>
                              <w:t xml:space="preserve">In diesem Versuch können die Schüler selbst den Sauerstoffgehalt der Luft bestimmen, ohne das Fehlvorstellungen erzeugt werden, wie beispielsweise bei dem Abbrennen eines Teelichts. </w:t>
                            </w:r>
                          </w:p>
                          <w:p w:rsidR="001C7E4D" w:rsidRPr="00F31EBF" w:rsidRDefault="001C7E4D" w:rsidP="001C7E4D">
                            <w:pPr>
                              <w:contextualSpacing/>
                              <w:rPr>
                                <w:color w:val="auto"/>
                              </w:rPr>
                            </w:pPr>
                            <w:r>
                              <w:rPr>
                                <w:color w:val="auto"/>
                              </w:rPr>
                              <w:t>Die SuS wissen bereits, dass Rost eine Reaktion von Eisen mit Sauerstoff darstellt.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5E51CB" id="_x0000_t202" coordsize="21600,21600" o:spt="202" path="m,l,21600r21600,l21600,xe">
                <v:stroke joinstyle="miter"/>
                <v:path gradientshapeok="t" o:connecttype="rect"/>
              </v:shapetype>
              <v:shape id="Text Box 136" o:spid="_x0000_s1026" type="#_x0000_t202" style="position:absolute;left:0;text-align:left;margin-left:.4pt;margin-top:31.45pt;width:462.4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" fillcolor="white [3201]" strokecolor="#4472c4 [3208]" strokeweight="1pt">
                <v:stroke dashstyle="dash"/>
                <v:shadow color="#868686"/>
                <v:textbox>
                  <w:txbxContent>
                    <w:p w:rsidR="001C7E4D" w:rsidRDefault="001C7E4D" w:rsidP="001C7E4D">
                      <w:pPr>
                        <w:contextualSpacing/>
                        <w:rPr>
                          <w:color w:val="auto"/>
                        </w:rPr>
                      </w:pPr>
                      <w:r>
                        <w:rPr>
                          <w:color w:val="auto"/>
                        </w:rPr>
                        <w:t xml:space="preserve">In diesem Versuch können die Schüler selbst den Sauerstoffgehalt der Luft bestimmen, ohne das Fehlvorstellungen erzeugt werden, wie beispielsweise bei dem Abbrennen eines Teelichts. </w:t>
                      </w:r>
                    </w:p>
                    <w:p w:rsidR="001C7E4D" w:rsidRPr="00F31EBF" w:rsidRDefault="001C7E4D" w:rsidP="001C7E4D">
                      <w:pPr>
                        <w:contextualSpacing/>
                        <w:rPr>
                          <w:color w:val="auto"/>
                        </w:rPr>
                      </w:pPr>
                      <w:r>
                        <w:rPr>
                          <w:color w:val="auto"/>
                        </w:rPr>
                        <w:t>Die SuS wissen bereits, dass Rost eine Reaktion von Eisen mit Sauerstoff darstellt.</w:t>
                      </w:r>
                    </w:p>
                  </w:txbxContent>
                </v:textbox>
                <w10:wrap type="square"/>
              </v:shape>
            </w:pict>
          </mc:Fallback>
        </mc:AlternateContent>
      </w:r>
      <w:r w:rsidRPr="00FD32C4">
        <w:t>V3 Bestimmung des Sauerstoffgehalts in der Luft durch Eisen</w:t>
      </w:r>
      <w:bookmarkEnd w:id="0"/>
    </w:p>
    <w:p w:rsidR="001C7E4D" w:rsidRPr="00FD32C4" w:rsidRDefault="001C7E4D" w:rsidP="001C7E4D">
      <w:pPr>
        <w:contextualSpacing/>
        <w:rPr>
          <w:rFonts w:asciiTheme="majorHAnsi" w:hAnsiTheme="maj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C7E4D" w:rsidRPr="00FD32C4" w:rsidTr="000B072C">
        <w:tc>
          <w:tcPr>
            <w:tcW w:w="9322" w:type="dxa"/>
            <w:gridSpan w:val="9"/>
            <w:shd w:val="clear" w:color="auto" w:fill="4F81BD"/>
            <w:vAlign w:val="center"/>
          </w:tcPr>
          <w:p w:rsidR="001C7E4D" w:rsidRPr="00FD32C4" w:rsidRDefault="001C7E4D" w:rsidP="000B072C">
            <w:pPr>
              <w:spacing w:after="0"/>
              <w:contextualSpacing/>
              <w:jc w:val="center"/>
              <w:rPr>
                <w:rFonts w:asciiTheme="majorHAnsi" w:hAnsiTheme="majorHAnsi"/>
                <w:b/>
                <w:bCs/>
                <w:color w:val="FFFFFF" w:themeColor="background1"/>
              </w:rPr>
            </w:pPr>
            <w:r w:rsidRPr="00FD32C4">
              <w:rPr>
                <w:rFonts w:asciiTheme="majorHAnsi" w:hAnsiTheme="majorHAnsi"/>
                <w:b/>
                <w:bCs/>
                <w:color w:val="FFFFFF" w:themeColor="background1"/>
              </w:rPr>
              <w:t>Gefahrenstoffe</w:t>
            </w:r>
          </w:p>
        </w:tc>
      </w:tr>
      <w:tr w:rsidR="001C7E4D" w:rsidRPr="00FD32C4" w:rsidTr="000B072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C7E4D" w:rsidRPr="00FD32C4" w:rsidRDefault="001C7E4D" w:rsidP="000B072C">
            <w:pPr>
              <w:spacing w:after="0" w:line="276" w:lineRule="auto"/>
              <w:contextualSpacing/>
              <w:jc w:val="center"/>
              <w:rPr>
                <w:rFonts w:asciiTheme="majorHAnsi" w:hAnsiTheme="majorHAnsi"/>
                <w:b/>
                <w:bCs/>
              </w:rPr>
            </w:pPr>
            <w:r w:rsidRPr="00FD32C4">
              <w:rPr>
                <w:rFonts w:asciiTheme="majorHAnsi" w:hAnsiTheme="majorHAnsi"/>
                <w:sz w:val="20"/>
              </w:rPr>
              <w:t>Eisenpulver</w:t>
            </w:r>
          </w:p>
        </w:tc>
        <w:tc>
          <w:tcPr>
            <w:tcW w:w="3177" w:type="dxa"/>
            <w:gridSpan w:val="3"/>
            <w:tcBorders>
              <w:top w:val="single" w:sz="8" w:space="0" w:color="4F81BD"/>
              <w:bottom w:val="single" w:sz="8" w:space="0" w:color="4F81BD"/>
            </w:tcBorders>
            <w:shd w:val="clear" w:color="auto" w:fill="auto"/>
            <w:vAlign w:val="center"/>
          </w:tcPr>
          <w:p w:rsidR="001C7E4D" w:rsidRPr="00FD32C4" w:rsidRDefault="001C7E4D" w:rsidP="000B072C">
            <w:pPr>
              <w:spacing w:after="0"/>
              <w:contextualSpacing/>
              <w:jc w:val="center"/>
              <w:rPr>
                <w:rFonts w:asciiTheme="majorHAnsi" w:hAnsiTheme="majorHAnsi"/>
              </w:rPr>
            </w:pPr>
            <w:r w:rsidRPr="00FD32C4">
              <w:rPr>
                <w:rFonts w:asciiTheme="majorHAnsi" w:hAnsiTheme="majorHAnsi"/>
                <w:sz w:val="20"/>
              </w:rPr>
              <w:t xml:space="preserve">H: </w:t>
            </w:r>
            <w:r w:rsidRPr="00FD32C4">
              <w:rPr>
                <w:rFonts w:asciiTheme="majorHAnsi" w:hAnsiTheme="majorHAnsi"/>
              </w:rPr>
              <w:t>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C7E4D" w:rsidRPr="00FD32C4" w:rsidRDefault="001C7E4D" w:rsidP="000B072C">
            <w:pPr>
              <w:spacing w:after="0"/>
              <w:contextualSpacing/>
              <w:jc w:val="center"/>
              <w:rPr>
                <w:rFonts w:asciiTheme="majorHAnsi" w:hAnsiTheme="majorHAnsi"/>
              </w:rPr>
            </w:pPr>
            <w:r w:rsidRPr="00FD32C4">
              <w:rPr>
                <w:rFonts w:asciiTheme="majorHAnsi" w:hAnsiTheme="majorHAnsi"/>
                <w:sz w:val="20"/>
              </w:rPr>
              <w:t xml:space="preserve">P: </w:t>
            </w:r>
            <w:r w:rsidRPr="00FD32C4">
              <w:rPr>
                <w:rFonts w:asciiTheme="majorHAnsi" w:hAnsiTheme="majorHAnsi"/>
              </w:rPr>
              <w:t>370+378b</w:t>
            </w:r>
          </w:p>
        </w:tc>
      </w:tr>
      <w:tr w:rsidR="001C7E4D" w:rsidRPr="00FD32C4" w:rsidTr="000B072C">
        <w:trPr>
          <w:trHeight w:val="434"/>
        </w:trPr>
        <w:tc>
          <w:tcPr>
            <w:tcW w:w="3027" w:type="dxa"/>
            <w:gridSpan w:val="3"/>
            <w:shd w:val="clear" w:color="auto" w:fill="auto"/>
            <w:vAlign w:val="center"/>
          </w:tcPr>
          <w:p w:rsidR="001C7E4D" w:rsidRPr="00FD32C4" w:rsidRDefault="001C7E4D" w:rsidP="000B072C">
            <w:pPr>
              <w:spacing w:after="0" w:line="276" w:lineRule="auto"/>
              <w:contextualSpacing/>
              <w:jc w:val="center"/>
              <w:rPr>
                <w:rFonts w:asciiTheme="majorHAnsi" w:hAnsiTheme="majorHAnsi"/>
                <w:bCs/>
                <w:sz w:val="20"/>
              </w:rPr>
            </w:pPr>
            <w:r w:rsidRPr="00FD32C4">
              <w:rPr>
                <w:rFonts w:asciiTheme="majorHAnsi" w:hAnsiTheme="majorHAnsi"/>
                <w:color w:val="auto"/>
                <w:sz w:val="20"/>
                <w:szCs w:val="20"/>
              </w:rPr>
              <w:t>Eisenoxid</w:t>
            </w:r>
          </w:p>
        </w:tc>
        <w:tc>
          <w:tcPr>
            <w:tcW w:w="3177" w:type="dxa"/>
            <w:gridSpan w:val="3"/>
            <w:shd w:val="clear" w:color="auto" w:fill="auto"/>
            <w:vAlign w:val="center"/>
          </w:tcPr>
          <w:p w:rsidR="001C7E4D" w:rsidRPr="00FD32C4" w:rsidRDefault="001C7E4D" w:rsidP="000B072C">
            <w:pPr>
              <w:pStyle w:val="Beschriftung"/>
              <w:spacing w:after="0"/>
              <w:contextualSpacing/>
              <w:jc w:val="center"/>
              <w:rPr>
                <w:rFonts w:asciiTheme="majorHAnsi" w:hAnsiTheme="majorHAnsi"/>
                <w:sz w:val="20"/>
              </w:rPr>
            </w:pPr>
            <w:r w:rsidRPr="00FD32C4">
              <w:rPr>
                <w:rFonts w:asciiTheme="majorHAnsi" w:hAnsiTheme="majorHAnsi"/>
                <w:sz w:val="20"/>
              </w:rPr>
              <w:t xml:space="preserve">H: </w:t>
            </w:r>
            <w:hyperlink r:id="rId5" w:anchor="H-S.C3.A4tze" w:tooltip="H- und P-Sätze" w:history="1">
              <w:r w:rsidRPr="00FD32C4">
                <w:rPr>
                  <w:rStyle w:val="Hyperlink"/>
                  <w:rFonts w:asciiTheme="majorHAnsi" w:hAnsiTheme="majorHAnsi"/>
                  <w:sz w:val="20"/>
                </w:rPr>
                <w:t>332</w:t>
              </w:r>
            </w:hyperlink>
            <w:r w:rsidRPr="00FD32C4">
              <w:rPr>
                <w:rFonts w:asciiTheme="majorHAnsi" w:hAnsiTheme="majorHAnsi"/>
                <w:sz w:val="20"/>
              </w:rPr>
              <w:t>-</w:t>
            </w:r>
            <w:hyperlink r:id="rId6" w:anchor="H-S.C3.A4tze" w:tooltip="H- und P-Sätze" w:history="1">
              <w:r w:rsidRPr="00FD32C4">
                <w:rPr>
                  <w:rStyle w:val="Hyperlink"/>
                  <w:rFonts w:asciiTheme="majorHAnsi" w:hAnsiTheme="majorHAnsi"/>
                  <w:sz w:val="20"/>
                </w:rPr>
                <w:t>312</w:t>
              </w:r>
            </w:hyperlink>
            <w:r w:rsidRPr="00FD32C4">
              <w:rPr>
                <w:rFonts w:asciiTheme="majorHAnsi" w:hAnsiTheme="majorHAnsi"/>
                <w:sz w:val="20"/>
              </w:rPr>
              <w:t>-</w:t>
            </w:r>
            <w:hyperlink r:id="rId7" w:anchor="H-S.C3.A4tze" w:tooltip="H- und P-Sätze" w:history="1">
              <w:r w:rsidRPr="00FD32C4">
                <w:rPr>
                  <w:rStyle w:val="Hyperlink"/>
                  <w:rFonts w:asciiTheme="majorHAnsi" w:hAnsiTheme="majorHAnsi"/>
                  <w:sz w:val="20"/>
                </w:rPr>
                <w:t>302</w:t>
              </w:r>
            </w:hyperlink>
            <w:r w:rsidRPr="00FD32C4">
              <w:rPr>
                <w:rFonts w:asciiTheme="majorHAnsi" w:hAnsiTheme="majorHAnsi"/>
                <w:sz w:val="20"/>
              </w:rPr>
              <w:t>-</w:t>
            </w:r>
            <w:hyperlink r:id="rId8" w:anchor="H-S.C3.A4tze" w:tooltip="H- und P-Sätze" w:history="1">
              <w:r w:rsidRPr="00FD32C4">
                <w:rPr>
                  <w:rStyle w:val="Hyperlink"/>
                  <w:rFonts w:asciiTheme="majorHAnsi" w:hAnsiTheme="majorHAnsi"/>
                  <w:sz w:val="20"/>
                </w:rPr>
                <w:t>412</w:t>
              </w:r>
            </w:hyperlink>
          </w:p>
        </w:tc>
        <w:tc>
          <w:tcPr>
            <w:tcW w:w="3118" w:type="dxa"/>
            <w:gridSpan w:val="3"/>
            <w:shd w:val="clear" w:color="auto" w:fill="auto"/>
            <w:vAlign w:val="center"/>
          </w:tcPr>
          <w:p w:rsidR="001C7E4D" w:rsidRPr="00FD32C4" w:rsidRDefault="001C7E4D" w:rsidP="000B072C">
            <w:pPr>
              <w:pStyle w:val="Beschriftung"/>
              <w:spacing w:after="0"/>
              <w:contextualSpacing/>
              <w:jc w:val="center"/>
              <w:rPr>
                <w:rFonts w:asciiTheme="majorHAnsi" w:hAnsiTheme="majorHAnsi"/>
                <w:sz w:val="20"/>
              </w:rPr>
            </w:pPr>
            <w:r w:rsidRPr="00FD32C4">
              <w:rPr>
                <w:rFonts w:asciiTheme="majorHAnsi" w:hAnsiTheme="majorHAnsi"/>
                <w:sz w:val="20"/>
              </w:rPr>
              <w:t xml:space="preserve">P: </w:t>
            </w:r>
            <w:hyperlink r:id="rId9" w:anchor="P-S.C3.A4tze" w:tooltip="H- und P-Sätze" w:history="1">
              <w:r w:rsidRPr="00FD32C4">
                <w:rPr>
                  <w:rStyle w:val="Hyperlink"/>
                  <w:rFonts w:asciiTheme="majorHAnsi" w:hAnsiTheme="majorHAnsi"/>
                  <w:sz w:val="20"/>
                </w:rPr>
                <w:t>273</w:t>
              </w:r>
            </w:hyperlink>
            <w:r w:rsidRPr="00FD32C4">
              <w:rPr>
                <w:rFonts w:asciiTheme="majorHAnsi" w:hAnsiTheme="majorHAnsi"/>
                <w:sz w:val="20"/>
              </w:rPr>
              <w:t>-​</w:t>
            </w:r>
            <w:hyperlink r:id="rId10" w:anchor="P-S.C3.A4tze" w:tooltip="H- und P-Sätze" w:history="1">
              <w:r w:rsidRPr="00FD32C4">
                <w:rPr>
                  <w:rStyle w:val="Hyperlink"/>
                  <w:rFonts w:asciiTheme="majorHAnsi" w:hAnsiTheme="majorHAnsi"/>
                  <w:sz w:val="20"/>
                </w:rPr>
                <w:t>302+352</w:t>
              </w:r>
            </w:hyperlink>
          </w:p>
        </w:tc>
      </w:tr>
      <w:tr w:rsidR="001C7E4D" w:rsidRPr="00FD32C4" w:rsidTr="000B072C">
        <w:tc>
          <w:tcPr>
            <w:tcW w:w="1009" w:type="dxa"/>
            <w:tcBorders>
              <w:top w:val="single" w:sz="8" w:space="0" w:color="4F81BD"/>
              <w:left w:val="single" w:sz="8" w:space="0" w:color="4F81BD"/>
              <w:bottom w:val="single" w:sz="8" w:space="0" w:color="4F81BD"/>
            </w:tcBorders>
            <w:shd w:val="clear" w:color="auto" w:fill="auto"/>
            <w:vAlign w:val="center"/>
          </w:tcPr>
          <w:p w:rsidR="001C7E4D" w:rsidRPr="00FD32C4" w:rsidRDefault="001C7E4D" w:rsidP="000B072C">
            <w:pPr>
              <w:spacing w:after="0"/>
              <w:contextualSpacing/>
              <w:jc w:val="center"/>
              <w:rPr>
                <w:rFonts w:asciiTheme="majorHAnsi" w:hAnsiTheme="majorHAnsi"/>
                <w:b/>
                <w:bCs/>
              </w:rPr>
            </w:pPr>
            <w:r w:rsidRPr="00FD32C4">
              <w:rPr>
                <w:rFonts w:asciiTheme="majorHAnsi" w:hAnsiTheme="majorHAnsi"/>
                <w:b/>
                <w:noProof/>
                <w:lang w:eastAsia="de-DE"/>
              </w:rPr>
              <w:drawing>
                <wp:inline distT="0" distB="0" distL="0" distR="0" wp14:anchorId="6AE56B4C" wp14:editId="7E52419C">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C7E4D" w:rsidRPr="00FD32C4" w:rsidRDefault="001C7E4D"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34ABF961" wp14:editId="448AD3E2">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C7E4D" w:rsidRPr="00FD32C4" w:rsidRDefault="001C7E4D"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1CEF502F" wp14:editId="23E3CEB4">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C7E4D" w:rsidRPr="00FD32C4" w:rsidRDefault="001C7E4D"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757D88A2" wp14:editId="6BEFA65C">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C7E4D" w:rsidRPr="00FD32C4" w:rsidRDefault="001C7E4D"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63CE0CD5" wp14:editId="72CF397E">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C7E4D" w:rsidRPr="00FD32C4" w:rsidRDefault="001C7E4D"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12DD891E" wp14:editId="57E1FE91">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C7E4D" w:rsidRPr="00FD32C4" w:rsidRDefault="001C7E4D"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13EFE322" wp14:editId="74E95CC0">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C7E4D" w:rsidRPr="00FD32C4" w:rsidRDefault="001C7E4D"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379823F1" wp14:editId="62A7A77F">
                  <wp:extent cx="511175" cy="511175"/>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screen">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C7E4D" w:rsidRPr="00FD32C4" w:rsidRDefault="001C7E4D"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54D18FE6" wp14:editId="068A3F74">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1C7E4D" w:rsidRPr="00FD32C4" w:rsidRDefault="001C7E4D" w:rsidP="001C7E4D">
      <w:pPr>
        <w:tabs>
          <w:tab w:val="left" w:pos="1701"/>
          <w:tab w:val="left" w:pos="1985"/>
        </w:tabs>
        <w:ind w:left="1980" w:hanging="1980"/>
        <w:contextualSpacing/>
        <w:rPr>
          <w:rFonts w:asciiTheme="majorHAnsi" w:hAnsiTheme="majorHAnsi"/>
        </w:rPr>
      </w:pPr>
    </w:p>
    <w:p w:rsidR="001C7E4D" w:rsidRPr="00FD32C4" w:rsidRDefault="001C7E4D" w:rsidP="001C7E4D">
      <w:pPr>
        <w:tabs>
          <w:tab w:val="left" w:pos="1701"/>
          <w:tab w:val="left" w:pos="1985"/>
        </w:tabs>
        <w:ind w:left="1980" w:hanging="1980"/>
        <w:contextualSpacing/>
        <w:rPr>
          <w:rFonts w:asciiTheme="majorHAnsi" w:hAnsiTheme="majorHAnsi"/>
        </w:rPr>
      </w:pPr>
      <w:r w:rsidRPr="00FD32C4">
        <w:rPr>
          <w:rFonts w:asciiTheme="majorHAnsi" w:hAnsiTheme="majorHAnsi"/>
        </w:rPr>
        <w:t xml:space="preserve">Materialien: </w:t>
      </w:r>
      <w:r w:rsidRPr="00FD32C4">
        <w:rPr>
          <w:rFonts w:asciiTheme="majorHAnsi" w:hAnsiTheme="majorHAnsi"/>
        </w:rPr>
        <w:tab/>
      </w:r>
      <w:r w:rsidRPr="00FD32C4">
        <w:rPr>
          <w:rFonts w:asciiTheme="majorHAnsi" w:hAnsiTheme="majorHAnsi"/>
        </w:rPr>
        <w:tab/>
        <w:t>Reagenzglas, Becherglas, Stativmaterial</w:t>
      </w:r>
    </w:p>
    <w:p w:rsidR="001C7E4D" w:rsidRPr="00FD32C4" w:rsidRDefault="001C7E4D" w:rsidP="001C7E4D">
      <w:pPr>
        <w:tabs>
          <w:tab w:val="left" w:pos="1701"/>
          <w:tab w:val="left" w:pos="1985"/>
        </w:tabs>
        <w:ind w:left="1980" w:hanging="1980"/>
        <w:contextualSpacing/>
        <w:rPr>
          <w:rFonts w:asciiTheme="majorHAnsi" w:hAnsiTheme="majorHAnsi"/>
        </w:rPr>
      </w:pPr>
      <w:r w:rsidRPr="00FD32C4">
        <w:rPr>
          <w:rFonts w:asciiTheme="majorHAnsi" w:hAnsiTheme="majorHAnsi"/>
        </w:rPr>
        <w:t>Chemikalien:</w:t>
      </w:r>
      <w:r w:rsidRPr="00FD32C4">
        <w:rPr>
          <w:rFonts w:asciiTheme="majorHAnsi" w:hAnsiTheme="majorHAnsi"/>
        </w:rPr>
        <w:tab/>
      </w:r>
      <w:r w:rsidRPr="00FD32C4">
        <w:rPr>
          <w:rFonts w:asciiTheme="majorHAnsi" w:hAnsiTheme="majorHAnsi"/>
        </w:rPr>
        <w:tab/>
        <w:t>Eisenpulver, Eisenoxid, Wasser</w:t>
      </w:r>
    </w:p>
    <w:p w:rsidR="001C7E4D" w:rsidRPr="00FD32C4" w:rsidRDefault="001C7E4D" w:rsidP="001C7E4D">
      <w:pPr>
        <w:tabs>
          <w:tab w:val="left" w:pos="1701"/>
          <w:tab w:val="left" w:pos="1985"/>
        </w:tabs>
        <w:ind w:left="1980" w:hanging="1980"/>
        <w:contextualSpacing/>
        <w:rPr>
          <w:rFonts w:asciiTheme="majorHAnsi" w:hAnsiTheme="majorHAnsi"/>
        </w:rPr>
      </w:pPr>
      <w:r w:rsidRPr="00FD32C4">
        <w:rPr>
          <w:rFonts w:asciiTheme="majorHAnsi" w:hAnsiTheme="majorHAnsi"/>
        </w:rPr>
        <w:t xml:space="preserve">Durchführung: </w:t>
      </w:r>
      <w:r w:rsidRPr="00FD32C4">
        <w:rPr>
          <w:rFonts w:asciiTheme="majorHAnsi" w:hAnsiTheme="majorHAnsi"/>
        </w:rPr>
        <w:tab/>
      </w:r>
      <w:r w:rsidRPr="00FD32C4">
        <w:rPr>
          <w:rFonts w:asciiTheme="majorHAnsi" w:hAnsiTheme="majorHAnsi"/>
        </w:rPr>
        <w:tab/>
      </w:r>
      <w:r w:rsidRPr="00FD32C4">
        <w:rPr>
          <w:rFonts w:asciiTheme="majorHAnsi" w:hAnsiTheme="majorHAnsi"/>
        </w:rPr>
        <w:tab/>
        <w:t>Das Reagenzglas wird komplett mit Wasser gefüllt und wieder entleert. Anschließend wird die Reagenzglaswand mit Eisenpulver bestreut. Anschließend wird das Reagenzglas mit der Öffnung nach unten in einem Wasserbad eingespannt und zwei Tage stehen gelassen. Nach dieser Dauer wird das Reagenzglas auf der Höhe des Meniskuses markiert. Das Volumen des Wasseranstiegs wird mit dem Gesamtvolumen verglichen und ein prozentualer Anteil berechnet.</w:t>
      </w:r>
    </w:p>
    <w:p w:rsidR="001C7E4D" w:rsidRPr="00FD32C4" w:rsidRDefault="001C7E4D" w:rsidP="001C7E4D">
      <w:pPr>
        <w:tabs>
          <w:tab w:val="left" w:pos="1701"/>
          <w:tab w:val="left" w:pos="1985"/>
        </w:tabs>
        <w:ind w:left="1980" w:hanging="1980"/>
        <w:contextualSpacing/>
        <w:rPr>
          <w:rFonts w:asciiTheme="majorHAnsi" w:hAnsiTheme="majorHAnsi"/>
        </w:rPr>
      </w:pPr>
      <w:r w:rsidRPr="00FD32C4">
        <w:rPr>
          <w:rFonts w:asciiTheme="majorHAnsi" w:hAnsiTheme="majorHAnsi"/>
        </w:rPr>
        <w:t>Beobachtung:</w:t>
      </w:r>
      <w:r w:rsidRPr="00FD32C4">
        <w:rPr>
          <w:rFonts w:asciiTheme="majorHAnsi" w:hAnsiTheme="majorHAnsi"/>
        </w:rPr>
        <w:tab/>
      </w:r>
      <w:r w:rsidRPr="00FD32C4">
        <w:rPr>
          <w:rFonts w:asciiTheme="majorHAnsi" w:hAnsiTheme="majorHAnsi"/>
        </w:rPr>
        <w:tab/>
      </w:r>
      <w:r w:rsidRPr="00FD32C4">
        <w:rPr>
          <w:rFonts w:asciiTheme="majorHAnsi" w:hAnsiTheme="majorHAnsi"/>
        </w:rPr>
        <w:tab/>
        <w:t>Das Wasser steigt im Reagenzglas auf. Es sind rotbraune Stellen am Eisen zu erkennen.</w:t>
      </w:r>
    </w:p>
    <w:p w:rsidR="001C7E4D" w:rsidRPr="00FD32C4" w:rsidRDefault="001C7E4D" w:rsidP="001C7E4D">
      <w:pPr>
        <w:keepNext/>
        <w:tabs>
          <w:tab w:val="left" w:pos="1701"/>
          <w:tab w:val="left" w:pos="1985"/>
        </w:tabs>
        <w:ind w:left="1980" w:hanging="1980"/>
        <w:contextualSpacing/>
        <w:jc w:val="center"/>
        <w:rPr>
          <w:rFonts w:asciiTheme="majorHAnsi" w:hAnsiTheme="majorHAnsi"/>
        </w:rPr>
      </w:pPr>
      <w:r w:rsidRPr="00FD32C4">
        <w:rPr>
          <w:rFonts w:asciiTheme="majorHAnsi" w:hAnsiTheme="majorHAnsi"/>
          <w:noProof/>
          <w:lang w:eastAsia="de-DE"/>
        </w:rPr>
        <w:lastRenderedPageBreak/>
        <w:drawing>
          <wp:inline distT="0" distB="0" distL="0" distR="0" wp14:anchorId="00B0F0E7" wp14:editId="1F168465">
            <wp:extent cx="1304925" cy="2939023"/>
            <wp:effectExtent l="0" t="0" r="0" b="0"/>
            <wp:docPr id="3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screen">
                      <a:extLst>
                        <a:ext uri="{28A0092B-C50C-407E-A947-70E740481C1C}">
                          <a14:useLocalDpi xmlns:a14="http://schemas.microsoft.com/office/drawing/2010/main"/>
                        </a:ext>
                      </a:extLst>
                    </a:blip>
                    <a:stretch>
                      <a:fillRect/>
                    </a:stretch>
                  </pic:blipFill>
                  <pic:spPr bwMode="auto">
                    <a:xfrm>
                      <a:off x="0" y="0"/>
                      <a:ext cx="1306145" cy="2941771"/>
                    </a:xfrm>
                    <a:prstGeom prst="rect">
                      <a:avLst/>
                    </a:prstGeom>
                    <a:noFill/>
                    <a:ln w="9525">
                      <a:noFill/>
                      <a:miter lim="800000"/>
                      <a:headEnd/>
                      <a:tailEnd/>
                    </a:ln>
                  </pic:spPr>
                </pic:pic>
              </a:graphicData>
            </a:graphic>
          </wp:inline>
        </w:drawing>
      </w:r>
    </w:p>
    <w:p w:rsidR="001C7E4D" w:rsidRPr="00FD32C4" w:rsidRDefault="001C7E4D" w:rsidP="001C7E4D">
      <w:pPr>
        <w:pStyle w:val="Beschriftung"/>
        <w:contextualSpacing/>
        <w:jc w:val="center"/>
        <w:rPr>
          <w:rFonts w:asciiTheme="majorHAnsi" w:hAnsiTheme="majorHAnsi"/>
          <w:noProof/>
        </w:rPr>
      </w:pPr>
      <w:r w:rsidRPr="00FD32C4">
        <w:rPr>
          <w:rFonts w:asciiTheme="majorHAnsi" w:hAnsiTheme="majorHAnsi"/>
        </w:rPr>
        <w:t xml:space="preserve">Abb. </w:t>
      </w:r>
      <w:r w:rsidRPr="00FD32C4">
        <w:rPr>
          <w:rFonts w:asciiTheme="majorHAnsi" w:hAnsiTheme="majorHAnsi"/>
        </w:rPr>
        <w:fldChar w:fldCharType="begin"/>
      </w:r>
      <w:r w:rsidRPr="00FD32C4">
        <w:rPr>
          <w:rFonts w:asciiTheme="majorHAnsi" w:hAnsiTheme="majorHAnsi"/>
        </w:rPr>
        <w:instrText xml:space="preserve"> SEQ Abb. \* ARABIC </w:instrText>
      </w:r>
      <w:r w:rsidRPr="00FD32C4">
        <w:rPr>
          <w:rFonts w:asciiTheme="majorHAnsi" w:hAnsiTheme="majorHAnsi"/>
        </w:rPr>
        <w:fldChar w:fldCharType="separate"/>
      </w:r>
      <w:r>
        <w:rPr>
          <w:rFonts w:asciiTheme="majorHAnsi" w:hAnsiTheme="majorHAnsi"/>
          <w:noProof/>
        </w:rPr>
        <w:t>3</w:t>
      </w:r>
      <w:r w:rsidRPr="00FD32C4">
        <w:rPr>
          <w:rFonts w:asciiTheme="majorHAnsi" w:hAnsiTheme="majorHAnsi"/>
          <w:noProof/>
        </w:rPr>
        <w:fldChar w:fldCharType="end"/>
      </w:r>
      <w:r w:rsidRPr="00FD32C4">
        <w:rPr>
          <w:rFonts w:asciiTheme="majorHAnsi" w:hAnsiTheme="majorHAnsi"/>
        </w:rPr>
        <w:t xml:space="preserve"> – </w:t>
      </w:r>
      <w:r w:rsidRPr="00FD32C4">
        <w:rPr>
          <w:rFonts w:asciiTheme="majorHAnsi" w:hAnsiTheme="majorHAnsi"/>
          <w:noProof/>
        </w:rPr>
        <w:t xml:space="preserve">Versuchsaufbau der Bestimmung des Sauerstoffgehalts der Luft. </w:t>
      </w:r>
      <w:r w:rsidRPr="00FD32C4">
        <w:rPr>
          <w:rFonts w:asciiTheme="majorHAnsi" w:hAnsiTheme="majorHAnsi"/>
          <w:noProof/>
        </w:rPr>
        <w:br/>
        <w:t>Nach zwei Tagen ist das beigefügte Bild zu erhalten.</w:t>
      </w:r>
    </w:p>
    <w:p w:rsidR="001C7E4D" w:rsidRPr="00FD32C4" w:rsidRDefault="001C7E4D" w:rsidP="001C7E4D">
      <w:pPr>
        <w:tabs>
          <w:tab w:val="left" w:pos="1701"/>
          <w:tab w:val="left" w:pos="1985"/>
        </w:tabs>
        <w:ind w:left="1985" w:hanging="1985"/>
        <w:contextualSpacing/>
        <w:rPr>
          <w:rFonts w:asciiTheme="majorHAnsi" w:hAnsiTheme="majorHAnsi"/>
        </w:rPr>
      </w:pPr>
      <w:r w:rsidRPr="00FD32C4">
        <w:rPr>
          <w:rFonts w:asciiTheme="majorHAnsi" w:hAnsiTheme="majorHAnsi"/>
        </w:rPr>
        <w:t>Deutung:</w:t>
      </w:r>
      <w:r w:rsidRPr="00FD32C4">
        <w:rPr>
          <w:rFonts w:asciiTheme="majorHAnsi" w:hAnsiTheme="majorHAnsi"/>
        </w:rPr>
        <w:tab/>
      </w:r>
      <w:r w:rsidRPr="00FD32C4">
        <w:rPr>
          <w:rFonts w:asciiTheme="majorHAnsi" w:hAnsiTheme="majorHAnsi"/>
        </w:rPr>
        <w:tab/>
        <w:t>Mit dem Luftsauerstoff rostet das Eisen:</w:t>
      </w:r>
    </w:p>
    <w:p w:rsidR="001C7E4D" w:rsidRPr="00FD32C4" w:rsidRDefault="001C7E4D" w:rsidP="001C7E4D">
      <w:pPr>
        <w:rPr>
          <w:rFonts w:asciiTheme="majorHAnsi" w:eastAsiaTheme="minorEastAsia" w:hAnsiTheme="majorHAnsi"/>
        </w:rPr>
      </w:pPr>
      <m:oMathPara>
        <m:oMath>
          <m:r>
            <w:rPr>
              <w:rFonts w:ascii="Cambria Math" w:hAnsi="Cambria Math"/>
            </w:rPr>
            <m:t xml:space="preserve">4 </m:t>
          </m:r>
          <m:sSub>
            <m:sSubPr>
              <m:ctrlPr>
                <w:rPr>
                  <w:rFonts w:ascii="Cambria Math" w:hAnsi="Cambria Math"/>
                </w:rPr>
              </m:ctrlPr>
            </m:sSubPr>
            <m:e>
              <m:r>
                <m:rPr>
                  <m:sty m:val="p"/>
                </m:rPr>
                <w:rPr>
                  <w:rFonts w:ascii="Cambria Math" w:hAnsi="Cambria Math"/>
                </w:rPr>
                <m:t>Fe</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3 O</m:t>
              </m:r>
            </m:e>
            <m:sub>
              <m:r>
                <m:rPr>
                  <m:sty m:val="p"/>
                </m:rPr>
                <w:rPr>
                  <w:rFonts w:ascii="Cambria Math" w:hAnsi="Cambria Math"/>
                </w:rPr>
                <m:t>2(g)</m:t>
              </m:r>
            </m:sub>
          </m:sSub>
          <m:box>
            <m:boxPr>
              <m:opEmu m:val="1"/>
              <m:ctrlPr>
                <w:rPr>
                  <w:rFonts w:ascii="Cambria Math" w:hAnsi="Cambria Math"/>
                </w:rPr>
              </m:ctrlPr>
            </m:boxPr>
            <m:e>
              <m:groupChr>
                <m:groupChrPr>
                  <m:chr m:val="→"/>
                  <m:vertJc m:val="bot"/>
                  <m:ctrlPr>
                    <w:rPr>
                      <w:rFonts w:ascii="Cambria Math" w:hAnsi="Cambria Math"/>
                    </w:rPr>
                  </m:ctrlPr>
                </m:groupChrPr>
                <m:e/>
              </m:groupChr>
            </m:e>
          </m:box>
          <m:sSub>
            <m:sSubPr>
              <m:ctrlPr>
                <w:rPr>
                  <w:rFonts w:ascii="Cambria Math" w:hAnsi="Cambria Math"/>
                </w:rPr>
              </m:ctrlPr>
            </m:sSubPr>
            <m:e>
              <m:r>
                <m:rPr>
                  <m:sty m:val="p"/>
                </m:rPr>
                <w:rPr>
                  <w:rFonts w:ascii="Cambria Math" w:hAnsi="Cambria Math"/>
                </w:rPr>
                <m:t>2 Fe</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3(s)</m:t>
              </m:r>
            </m:sub>
          </m:sSub>
        </m:oMath>
      </m:oMathPara>
    </w:p>
    <w:p w:rsidR="001C7E4D" w:rsidRPr="00FD32C4" w:rsidRDefault="001C7E4D" w:rsidP="001C7E4D">
      <w:pPr>
        <w:rPr>
          <w:rFonts w:asciiTheme="majorHAnsi" w:eastAsiaTheme="minorEastAsia" w:hAnsiTheme="majorHAnsi"/>
        </w:rPr>
      </w:pPr>
      <w:r w:rsidRPr="00FD32C4">
        <w:rPr>
          <w:rFonts w:asciiTheme="majorHAnsi" w:eastAsiaTheme="minorEastAsia" w:hAnsiTheme="majorHAnsi"/>
        </w:rPr>
        <w:tab/>
      </w:r>
      <w:r w:rsidRPr="00FD32C4">
        <w:rPr>
          <w:rFonts w:asciiTheme="majorHAnsi" w:eastAsiaTheme="minorEastAsia" w:hAnsiTheme="majorHAnsi"/>
        </w:rPr>
        <w:tab/>
      </w:r>
      <w:r w:rsidRPr="00FD32C4">
        <w:rPr>
          <w:rFonts w:asciiTheme="majorHAnsi" w:eastAsiaTheme="minorEastAsia" w:hAnsiTheme="majorHAnsi"/>
        </w:rPr>
        <w:tab/>
        <w:t>Oder:</w:t>
      </w:r>
    </w:p>
    <w:p w:rsidR="001C7E4D" w:rsidRPr="00FD32C4" w:rsidRDefault="001C7E4D" w:rsidP="001C7E4D">
      <w:pPr>
        <w:rPr>
          <w:rFonts w:asciiTheme="majorHAnsi" w:eastAsiaTheme="minorEastAsia" w:hAnsiTheme="majorHAnsi"/>
        </w:rPr>
      </w:pPr>
      <m:oMathPara>
        <m:oMath>
          <m:sSub>
            <m:sSubPr>
              <m:ctrlPr>
                <w:rPr>
                  <w:rFonts w:ascii="Cambria Math" w:hAnsi="Cambria Math"/>
                </w:rPr>
              </m:ctrlPr>
            </m:sSubPr>
            <m:e>
              <m:r>
                <m:rPr>
                  <m:sty m:val="p"/>
                </m:rPr>
                <w:rPr>
                  <w:rFonts w:ascii="Cambria Math" w:hAnsi="Cambria Math"/>
                </w:rPr>
                <m:t>2 Fe</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2(g)</m:t>
              </m:r>
            </m:sub>
          </m:sSub>
          <m:box>
            <m:boxPr>
              <m:opEmu m:val="1"/>
              <m:ctrlPr>
                <w:rPr>
                  <w:rFonts w:ascii="Cambria Math" w:hAnsi="Cambria Math"/>
                </w:rPr>
              </m:ctrlPr>
            </m:boxPr>
            <m:e>
              <m:groupChr>
                <m:groupChrPr>
                  <m:chr m:val="→"/>
                  <m:vertJc m:val="bot"/>
                  <m:ctrlPr>
                    <w:rPr>
                      <w:rFonts w:ascii="Cambria Math" w:hAnsi="Cambria Math"/>
                    </w:rPr>
                  </m:ctrlPr>
                </m:groupChrPr>
                <m:e/>
              </m:groupChr>
            </m:e>
          </m:box>
          <m:r>
            <m:rPr>
              <m:sty m:val="p"/>
            </m:rPr>
            <w:rPr>
              <w:rFonts w:ascii="Cambria Math" w:hAnsi="Cambria Math"/>
            </w:rPr>
            <m:t>2 Fe</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(s)</m:t>
              </m:r>
            </m:sub>
          </m:sSub>
        </m:oMath>
      </m:oMathPara>
    </w:p>
    <w:p w:rsidR="001C7E4D" w:rsidRPr="00FD32C4" w:rsidRDefault="001C7E4D" w:rsidP="001C7E4D">
      <w:pPr>
        <w:tabs>
          <w:tab w:val="left" w:pos="1701"/>
          <w:tab w:val="left" w:pos="1985"/>
        </w:tabs>
        <w:ind w:left="1985" w:hanging="1985"/>
        <w:contextualSpacing/>
        <w:rPr>
          <w:rFonts w:asciiTheme="majorHAnsi" w:eastAsiaTheme="minorEastAsia" w:hAnsiTheme="majorHAnsi"/>
        </w:rPr>
      </w:pPr>
      <w:r w:rsidRPr="00FD32C4">
        <w:rPr>
          <w:rFonts w:asciiTheme="majorHAnsi" w:hAnsiTheme="majorHAnsi"/>
        </w:rPr>
        <w:tab/>
      </w:r>
      <w:r w:rsidRPr="00FD32C4">
        <w:rPr>
          <w:rFonts w:asciiTheme="majorHAnsi" w:hAnsiTheme="majorHAnsi"/>
        </w:rPr>
        <w:tab/>
        <w:t xml:space="preserve"> Durch die Reaktion des Sauerstoffs mit dem Eisen entsteht ein Unterdruck, das Wasser steigt auf um diesen auszugleichen. Je mehr Sauerstoff in der Luftprobe war, desto höher steigt die Wassersäule. Es wird ein Volumen von etwa 21% vom Wasser eingenommen.</w:t>
      </w:r>
    </w:p>
    <w:p w:rsidR="001C7E4D" w:rsidRPr="00FD32C4" w:rsidRDefault="001C7E4D" w:rsidP="001C7E4D">
      <w:pPr>
        <w:spacing w:line="276" w:lineRule="auto"/>
        <w:ind w:left="1985" w:hanging="1985"/>
        <w:contextualSpacing/>
        <w:jc w:val="left"/>
        <w:rPr>
          <w:rFonts w:asciiTheme="majorHAnsi" w:hAnsiTheme="majorHAnsi"/>
        </w:rPr>
      </w:pPr>
      <w:r w:rsidRPr="00FD32C4">
        <w:rPr>
          <w:rFonts w:asciiTheme="majorHAnsi" w:hAnsiTheme="majorHAnsi"/>
        </w:rPr>
        <w:t>Entsorgung:</w:t>
      </w:r>
      <w:r w:rsidRPr="00FD32C4">
        <w:rPr>
          <w:rFonts w:asciiTheme="majorHAnsi" w:hAnsiTheme="majorHAnsi"/>
        </w:rPr>
        <w:tab/>
        <w:t>Eisenpulver und Eisenoxid werden in den Schwermetallbehälter zur Entsorgung gegeben.</w:t>
      </w:r>
    </w:p>
    <w:p w:rsidR="001C7E4D" w:rsidRPr="00FD32C4" w:rsidRDefault="001C7E4D" w:rsidP="001C7E4D">
      <w:pPr>
        <w:spacing w:line="276" w:lineRule="auto"/>
        <w:ind w:left="1985" w:hanging="1985"/>
        <w:contextualSpacing/>
        <w:jc w:val="left"/>
        <w:rPr>
          <w:rFonts w:asciiTheme="majorHAnsi" w:hAnsiTheme="majorHAnsi"/>
        </w:rPr>
      </w:pPr>
      <w:r w:rsidRPr="00FD32C4">
        <w:rPr>
          <w:rFonts w:asciiTheme="majorHAnsi" w:hAnsiTheme="majorHAnsi"/>
        </w:rPr>
        <w:t>Literatur:</w:t>
      </w:r>
      <w:r w:rsidRPr="00FD32C4">
        <w:rPr>
          <w:rFonts w:asciiTheme="majorHAnsi" w:hAnsiTheme="majorHAnsi"/>
        </w:rPr>
        <w:tab/>
        <w:t xml:space="preserve">[1] H. Schmidkunz, Chemische Freihandversuche, Band 1, 2011, S.196 </w:t>
      </w:r>
    </w:p>
    <w:p w:rsidR="001C7E4D" w:rsidRPr="00FD32C4" w:rsidRDefault="001C7E4D" w:rsidP="001C7E4D">
      <w:pPr>
        <w:spacing w:line="276" w:lineRule="auto"/>
        <w:ind w:left="1985" w:hanging="1985"/>
        <w:contextualSpacing/>
        <w:jc w:val="left"/>
        <w:rPr>
          <w:rFonts w:asciiTheme="majorHAnsi" w:hAnsiTheme="majorHAnsi"/>
        </w:rPr>
      </w:pPr>
      <w:r w:rsidRPr="00FD32C4">
        <w:rPr>
          <w:rFonts w:asciiTheme="majorHAnsi" w:hAnsiTheme="majorHAnsi"/>
          <w:noProof/>
          <w:lang w:eastAsia="de-DE"/>
        </w:rPr>
        <mc:AlternateContent>
          <mc:Choice Requires="wps">
            <w:drawing>
              <wp:inline distT="0" distB="0" distL="0" distR="0" wp14:anchorId="3DE1CC31" wp14:editId="1A634D4E">
                <wp:extent cx="5873115" cy="793630"/>
                <wp:effectExtent l="0" t="0" r="13335" b="26035"/>
                <wp:docPr id="4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363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C7E4D" w:rsidRPr="00F31EBF" w:rsidRDefault="001C7E4D" w:rsidP="001C7E4D">
                            <w:pPr>
                              <w:rPr>
                                <w:color w:val="auto"/>
                              </w:rPr>
                            </w:pPr>
                            <w:r w:rsidRPr="00F31EBF">
                              <w:rPr>
                                <w:b/>
                                <w:color w:val="auto"/>
                              </w:rPr>
                              <w:t>Unterrichtsanschlüsse</w:t>
                            </w:r>
                            <w:r>
                              <w:rPr>
                                <w:b/>
                                <w:color w:val="auto"/>
                              </w:rPr>
                              <w:t>:</w:t>
                            </w:r>
                            <w:r w:rsidRPr="00F31EBF">
                              <w:rPr>
                                <w:b/>
                                <w:color w:val="auto"/>
                              </w:rPr>
                              <w:t xml:space="preserve"> </w:t>
                            </w:r>
                            <w:r>
                              <w:rPr>
                                <w:color w:val="auto"/>
                              </w:rPr>
                              <w:t>Innerhalb der Unterrichtseinheit Sauerstoff können die SuS anhand dieses Versuches ihre handwerklichen Fertigkeiten trainieren und auf inhaltlicher Ebene den Gehalt des Sauerstoffs selbst experimentell bestimmen.</w:t>
                            </w:r>
                          </w:p>
                        </w:txbxContent>
                      </wps:txbx>
                      <wps:bodyPr rot="0" vert="horz" wrap="square" lIns="91440" tIns="45720" rIns="91440" bIns="45720" anchor="t" anchorCtr="0" upright="1">
                        <a:noAutofit/>
                      </wps:bodyPr>
                    </wps:wsp>
                  </a:graphicData>
                </a:graphic>
              </wp:inline>
            </w:drawing>
          </mc:Choice>
          <mc:Fallback>
            <w:pict>
              <v:shape w14:anchorId="3DE1CC31" id="Text Box 135" o:spid="_x0000_s1027" type="#_x0000_t202" style="width:462.4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" fillcolor="white [3201]" strokecolor="#ed7d31 [3205]" strokeweight="1pt">
                <v:stroke dashstyle="dash"/>
                <v:shadow color="#868686"/>
                <v:textbox>
                  <w:txbxContent>
                    <w:p w:rsidR="001C7E4D" w:rsidRPr="00F31EBF" w:rsidRDefault="001C7E4D" w:rsidP="001C7E4D">
                      <w:pPr>
                        <w:rPr>
                          <w:color w:val="auto"/>
                        </w:rPr>
                      </w:pPr>
                      <w:r w:rsidRPr="00F31EBF">
                        <w:rPr>
                          <w:b/>
                          <w:color w:val="auto"/>
                        </w:rPr>
                        <w:t>Unterrichtsanschlüsse</w:t>
                      </w:r>
                      <w:r>
                        <w:rPr>
                          <w:b/>
                          <w:color w:val="auto"/>
                        </w:rPr>
                        <w:t>:</w:t>
                      </w:r>
                      <w:r w:rsidRPr="00F31EBF">
                        <w:rPr>
                          <w:b/>
                          <w:color w:val="auto"/>
                        </w:rPr>
                        <w:t xml:space="preserve"> </w:t>
                      </w:r>
                      <w:r>
                        <w:rPr>
                          <w:color w:val="auto"/>
                        </w:rPr>
                        <w:t>Innerhalb der Unterrichtseinheit Sauerstoff können die SuS anhand dieses Versuches ihre handwerklichen Fertigkeiten trainieren und auf inhaltlicher Ebene den Gehalt des Sauerstoffs selbst experimentell bestimmen.</w:t>
                      </w:r>
                    </w:p>
                  </w:txbxContent>
                </v:textbox>
                <w10:anchorlock/>
              </v:shape>
            </w:pict>
          </mc:Fallback>
        </mc:AlternateContent>
      </w:r>
    </w:p>
    <w:p w:rsidR="00D73F5D" w:rsidRPr="001C7E4D" w:rsidRDefault="00D73F5D" w:rsidP="001C7E4D">
      <w:bookmarkStart w:id="1" w:name="_GoBack"/>
      <w:bookmarkEnd w:id="1"/>
    </w:p>
    <w:sectPr w:rsidR="00D73F5D" w:rsidRPr="001C7E4D">
      <w:footerReference w:type="default" r:id="rId21"/>
      <w:footerReference w:type="first" r:id="rId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02337"/>
      <w:docPartObj>
        <w:docPartGallery w:val="Page Numbers (Bottom of Page)"/>
        <w:docPartUnique/>
      </w:docPartObj>
    </w:sdtPr>
    <w:sdtEndPr/>
    <w:sdtContent>
      <w:p w:rsidR="0099183C" w:rsidRDefault="001C7E4D">
        <w:pPr>
          <w:pStyle w:val="Fuzeile"/>
          <w:jc w:val="center"/>
        </w:pPr>
        <w:r>
          <w:fldChar w:fldCharType="begin"/>
        </w:r>
        <w:r>
          <w:instrText>PAGE   \* MERGEFORMAT</w:instrText>
        </w:r>
        <w:r>
          <w:fldChar w:fldCharType="separate"/>
        </w:r>
        <w:r>
          <w:rPr>
            <w:noProof/>
          </w:rPr>
          <w:t>2</w:t>
        </w:r>
        <w:r>
          <w:fldChar w:fldCharType="end"/>
        </w:r>
      </w:p>
    </w:sdtContent>
  </w:sdt>
  <w:p w:rsidR="0099183C" w:rsidRDefault="001C7E4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3C" w:rsidRDefault="001C7E4D">
    <w:pPr>
      <w:pStyle w:val="Fuzeile"/>
      <w:jc w:val="center"/>
    </w:pPr>
  </w:p>
  <w:p w:rsidR="0099183C" w:rsidRDefault="001C7E4D">
    <w:pPr>
      <w:pStyle w:val="Fuzeil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9517F"/>
    <w:multiLevelType w:val="hybridMultilevel"/>
    <w:tmpl w:val="83560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D3"/>
    <w:rsid w:val="001C7E4D"/>
    <w:rsid w:val="00240CE2"/>
    <w:rsid w:val="003143CC"/>
    <w:rsid w:val="003D42D3"/>
    <w:rsid w:val="007D4813"/>
    <w:rsid w:val="008F5648"/>
    <w:rsid w:val="00A3064F"/>
    <w:rsid w:val="00C20C1B"/>
    <w:rsid w:val="00C443B4"/>
    <w:rsid w:val="00D73F5D"/>
    <w:rsid w:val="00E46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8C91-9413-4DBB-BC6F-BAECF9EA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4813"/>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A306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autoRedefine/>
    <w:uiPriority w:val="9"/>
    <w:unhideWhenUsed/>
    <w:qFormat/>
    <w:rsid w:val="003D42D3"/>
    <w:pPr>
      <w:keepNext/>
      <w:keepLines/>
      <w:spacing w:before="40" w:after="0"/>
      <w:outlineLvl w:val="1"/>
    </w:pPr>
    <w:rPr>
      <w:rFonts w:eastAsia="MS Gothic"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D42D3"/>
    <w:rPr>
      <w:rFonts w:ascii="Cambria" w:eastAsia="MS Gothic" w:hAnsi="Cambria" w:cstheme="majorBidi"/>
      <w:b/>
      <w:sz w:val="26"/>
      <w:szCs w:val="26"/>
    </w:rPr>
  </w:style>
  <w:style w:type="character" w:styleId="Hyperlink">
    <w:name w:val="Hyperlink"/>
    <w:basedOn w:val="Absatz-Standardschriftart"/>
    <w:uiPriority w:val="99"/>
    <w:unhideWhenUsed/>
    <w:rsid w:val="003D42D3"/>
    <w:rPr>
      <w:color w:val="0563C1" w:themeColor="hyperlink"/>
      <w:u w:val="single"/>
    </w:rPr>
  </w:style>
  <w:style w:type="paragraph" w:styleId="Beschriftung">
    <w:name w:val="caption"/>
    <w:basedOn w:val="Standard"/>
    <w:next w:val="Standard"/>
    <w:uiPriority w:val="35"/>
    <w:unhideWhenUsed/>
    <w:qFormat/>
    <w:rsid w:val="007D4813"/>
    <w:pPr>
      <w:spacing w:line="240" w:lineRule="auto"/>
    </w:pPr>
    <w:rPr>
      <w:bCs/>
      <w:color w:val="auto"/>
      <w:sz w:val="18"/>
      <w:szCs w:val="18"/>
    </w:rPr>
  </w:style>
  <w:style w:type="paragraph" w:styleId="Fuzeile">
    <w:name w:val="footer"/>
    <w:basedOn w:val="Standard"/>
    <w:link w:val="FuzeileZchn"/>
    <w:uiPriority w:val="99"/>
    <w:unhideWhenUsed/>
    <w:rsid w:val="00314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43CC"/>
    <w:rPr>
      <w:rFonts w:ascii="Cambria" w:hAnsi="Cambria"/>
      <w:color w:val="171717" w:themeColor="background2" w:themeShade="1A"/>
    </w:rPr>
  </w:style>
  <w:style w:type="character" w:customStyle="1" w:styleId="berschrift1Zchn">
    <w:name w:val="Überschrift 1 Zchn"/>
    <w:basedOn w:val="Absatz-Standardschriftart"/>
    <w:link w:val="berschrift1"/>
    <w:uiPriority w:val="9"/>
    <w:rsid w:val="00A3064F"/>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A3064F"/>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A306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64F"/>
    <w:rPr>
      <w:rFonts w:ascii="Cambria" w:hAnsi="Cambria"/>
      <w:color w:val="171717" w:themeColor="background2" w:themeShade="1A"/>
    </w:rPr>
  </w:style>
  <w:style w:type="character" w:customStyle="1" w:styleId="mw-mmv-title">
    <w:name w:val="mw-mmv-title"/>
    <w:basedOn w:val="Absatz-Standardschriftart"/>
    <w:rsid w:val="00A3064F"/>
  </w:style>
  <w:style w:type="character" w:styleId="HTMLZitat">
    <w:name w:val="HTML Cite"/>
    <w:basedOn w:val="Absatz-Standardschriftart"/>
    <w:uiPriority w:val="99"/>
    <w:semiHidden/>
    <w:unhideWhenUsed/>
    <w:rsid w:val="008F56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de.wikipedia.org/wiki/H-_und_P-S%C3%A4tze"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hyperlink" Target="http://de.wikipedia.org/wiki/H-_und_P-S%C3%A4tze" TargetMode="Externa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de.wikipedia.org/wiki/H-_und_P-S%C3%A4tze"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de.wikipedia.org/wiki/H-_und_P-S%C3%A4tze" TargetMode="Externa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1880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Ehlers</dc:creator>
  <cp:keywords/>
  <dc:description/>
  <cp:lastModifiedBy>Marc Ehlers</cp:lastModifiedBy>
  <cp:revision>2</cp:revision>
  <dcterms:created xsi:type="dcterms:W3CDTF">2016-08-09T06:44:00Z</dcterms:created>
  <dcterms:modified xsi:type="dcterms:W3CDTF">2016-08-09T06:44:00Z</dcterms:modified>
</cp:coreProperties>
</file>