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2E7" w:rsidRPr="00984EF9" w:rsidRDefault="005D72E7" w:rsidP="005D72E7">
      <w:pPr>
        <w:pStyle w:val="berschrift2"/>
      </w:pPr>
      <w:bookmarkStart w:id="0" w:name="_Toc457763276"/>
      <w:r>
        <w:t>V1 – Bestimmung des Sauerstoffgehalts durch alkalische Pyrogallollösung</w:t>
      </w:r>
      <w:bookmarkEnd w:id="0"/>
    </w:p>
    <w:p w:rsidR="005D72E7" w:rsidRDefault="005D72E7" w:rsidP="005D72E7">
      <w:bookmarkStart w:id="1" w:name="_Toc425776595"/>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D72E7" w:rsidRPr="009C5E28" w:rsidTr="000B072C">
        <w:tc>
          <w:tcPr>
            <w:tcW w:w="9322" w:type="dxa"/>
            <w:gridSpan w:val="9"/>
            <w:shd w:val="clear" w:color="auto" w:fill="4F81BD"/>
            <w:vAlign w:val="center"/>
          </w:tcPr>
          <w:p w:rsidR="005D72E7" w:rsidRPr="00F31EBF" w:rsidRDefault="005D72E7" w:rsidP="000B072C">
            <w:pPr>
              <w:spacing w:after="0"/>
              <w:rPr>
                <w:b/>
                <w:bCs/>
                <w:color w:val="FFFFFF" w:themeColor="background1"/>
              </w:rPr>
            </w:pPr>
            <w:r w:rsidRPr="00F31EBF">
              <w:rPr>
                <w:b/>
                <w:bCs/>
                <w:color w:val="FFFFFF" w:themeColor="background1"/>
              </w:rPr>
              <w:t>Gefahrenstoffe</w:t>
            </w:r>
          </w:p>
        </w:tc>
      </w:tr>
      <w:tr w:rsidR="005D72E7" w:rsidRPr="009C5E28" w:rsidTr="000B0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D72E7" w:rsidRPr="009C5E28" w:rsidRDefault="005D72E7" w:rsidP="000B072C">
            <w:pPr>
              <w:spacing w:after="0"/>
              <w:rPr>
                <w:b/>
                <w:bCs/>
              </w:rPr>
            </w:pPr>
            <w:r>
              <w:rPr>
                <w:sz w:val="20"/>
              </w:rPr>
              <w:t>Pyrogallollösung (w=5%)</w:t>
            </w:r>
          </w:p>
        </w:tc>
        <w:tc>
          <w:tcPr>
            <w:tcW w:w="3177" w:type="dxa"/>
            <w:gridSpan w:val="3"/>
            <w:tcBorders>
              <w:top w:val="single" w:sz="8" w:space="0" w:color="4F81BD"/>
              <w:bottom w:val="single" w:sz="8" w:space="0" w:color="4F81BD"/>
            </w:tcBorders>
            <w:shd w:val="clear" w:color="auto" w:fill="auto"/>
            <w:vAlign w:val="center"/>
          </w:tcPr>
          <w:p w:rsidR="005D72E7" w:rsidRPr="009C5E28" w:rsidRDefault="005D72E7" w:rsidP="000B072C">
            <w:pPr>
              <w:spacing w:after="0"/>
            </w:pPr>
            <w:r w:rsidRPr="009C5E28">
              <w:rPr>
                <w:sz w:val="20"/>
              </w:rPr>
              <w:t xml:space="preserve">H: </w:t>
            </w:r>
            <w:hyperlink r:id="rId5" w:anchor="H-S.C3.A4tze" w:tooltip="H- und P-Sätze" w:history="1">
              <w:r w:rsidRPr="009C5E28">
                <w:rPr>
                  <w:rStyle w:val="Hyperlink"/>
                  <w:color w:val="auto"/>
                  <w:sz w:val="20"/>
                </w:rPr>
                <w:t>332</w:t>
              </w:r>
            </w:hyperlink>
            <w:r w:rsidRPr="009C5E28">
              <w:rPr>
                <w:sz w:val="20"/>
              </w:rPr>
              <w:t>-</w:t>
            </w:r>
            <w:hyperlink r:id="rId6" w:anchor="H-S.C3.A4tze" w:tooltip="H- und P-Sätze" w:history="1">
              <w:r w:rsidRPr="009C5E28">
                <w:rPr>
                  <w:rStyle w:val="Hyperlink"/>
                  <w:color w:val="auto"/>
                  <w:sz w:val="20"/>
                </w:rPr>
                <w:t>302</w:t>
              </w:r>
            </w:hyperlink>
            <w:r w:rsidRPr="009C5E28">
              <w:rPr>
                <w:sz w:val="20"/>
              </w:rPr>
              <w:t>-</w:t>
            </w:r>
            <w:hyperlink r:id="rId7" w:anchor="H-S.C3.A4tze" w:tooltip="H- und P-Sätze" w:history="1">
              <w:r w:rsidRPr="009C5E28">
                <w:rPr>
                  <w:rStyle w:val="Hyperlink"/>
                  <w:color w:val="auto"/>
                  <w:sz w:val="20"/>
                </w:rPr>
                <w:t>314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D72E7" w:rsidRPr="009C5E28" w:rsidRDefault="005D72E7" w:rsidP="000B072C">
            <w:pPr>
              <w:spacing w:after="0"/>
            </w:pPr>
            <w:r w:rsidRPr="009C5E28">
              <w:rPr>
                <w:sz w:val="20"/>
              </w:rPr>
              <w:t xml:space="preserve">P: </w:t>
            </w:r>
            <w:hyperlink r:id="rId8" w:anchor="P-S.C3.A4tze" w:tooltip="H- und P-Sätze" w:history="1">
              <w:r w:rsidRPr="009C5E28">
                <w:rPr>
                  <w:rStyle w:val="Hyperlink"/>
                  <w:color w:val="auto"/>
                  <w:sz w:val="20"/>
                </w:rPr>
                <w:t>280</w:t>
              </w:r>
            </w:hyperlink>
            <w:r w:rsidRPr="009C5E28">
              <w:rPr>
                <w:sz w:val="20"/>
              </w:rPr>
              <w:t>-​</w:t>
            </w:r>
            <w:hyperlink r:id="rId9" w:anchor="P-S.C3.A4tze" w:tooltip="H- und P-Sätze" w:history="1">
              <w:r w:rsidRPr="009C5E28">
                <w:rPr>
                  <w:rStyle w:val="Hyperlink"/>
                  <w:color w:val="auto"/>
                  <w:sz w:val="20"/>
                </w:rPr>
                <w:t>301+330+331</w:t>
              </w:r>
            </w:hyperlink>
          </w:p>
        </w:tc>
      </w:tr>
      <w:tr w:rsidR="005D72E7" w:rsidRPr="009C5E28" w:rsidTr="000B072C">
        <w:trPr>
          <w:trHeight w:val="434"/>
        </w:trPr>
        <w:tc>
          <w:tcPr>
            <w:tcW w:w="3027" w:type="dxa"/>
            <w:gridSpan w:val="3"/>
            <w:tcBorders>
              <w:bottom w:val="single" w:sz="4" w:space="0" w:color="5B9BD5" w:themeColor="accent1"/>
            </w:tcBorders>
            <w:shd w:val="clear" w:color="auto" w:fill="auto"/>
            <w:vAlign w:val="center"/>
          </w:tcPr>
          <w:p w:rsidR="005D72E7" w:rsidRPr="009C5E28" w:rsidRDefault="005D72E7" w:rsidP="000B072C">
            <w:pPr>
              <w:spacing w:after="0"/>
              <w:rPr>
                <w:bCs/>
                <w:sz w:val="20"/>
              </w:rPr>
            </w:pPr>
            <w:r>
              <w:rPr>
                <w:color w:val="auto"/>
                <w:sz w:val="20"/>
                <w:szCs w:val="20"/>
              </w:rPr>
              <w:t>NaOH (w=10%)</w:t>
            </w:r>
          </w:p>
        </w:tc>
        <w:tc>
          <w:tcPr>
            <w:tcW w:w="3177" w:type="dxa"/>
            <w:gridSpan w:val="3"/>
            <w:tcBorders>
              <w:bottom w:val="single" w:sz="4" w:space="0" w:color="5B9BD5" w:themeColor="accent1"/>
            </w:tcBorders>
            <w:shd w:val="clear" w:color="auto" w:fill="auto"/>
            <w:vAlign w:val="center"/>
          </w:tcPr>
          <w:p w:rsidR="005D72E7" w:rsidRPr="009C5E28" w:rsidRDefault="005D72E7" w:rsidP="000B072C">
            <w:pPr>
              <w:pStyle w:val="Beschriftung"/>
              <w:spacing w:after="0" w:line="360" w:lineRule="auto"/>
              <w:rPr>
                <w:sz w:val="20"/>
              </w:rPr>
            </w:pPr>
            <w:r w:rsidRPr="009C5E28">
              <w:rPr>
                <w:sz w:val="20"/>
              </w:rPr>
              <w:t xml:space="preserve">H: </w:t>
            </w:r>
            <w:hyperlink r:id="rId10" w:anchor="H-S.C3.A4tze" w:tooltip="H- und P-Sätze" w:history="1">
              <w:r w:rsidRPr="009C5E28">
                <w:rPr>
                  <w:rStyle w:val="Hyperlink"/>
                  <w:sz w:val="20"/>
                </w:rPr>
                <w:t>332</w:t>
              </w:r>
            </w:hyperlink>
            <w:r w:rsidRPr="009C5E28">
              <w:rPr>
                <w:sz w:val="20"/>
              </w:rPr>
              <w:t>-</w:t>
            </w:r>
            <w:hyperlink r:id="rId11" w:anchor="H-S.C3.A4tze" w:tooltip="H- und P-Sätze" w:history="1">
              <w:r w:rsidRPr="009C5E28">
                <w:rPr>
                  <w:rStyle w:val="Hyperlink"/>
                  <w:sz w:val="20"/>
                </w:rPr>
                <w:t>312</w:t>
              </w:r>
            </w:hyperlink>
            <w:r w:rsidRPr="009C5E28">
              <w:rPr>
                <w:sz w:val="20"/>
              </w:rPr>
              <w:t>-</w:t>
            </w:r>
            <w:hyperlink r:id="rId12" w:anchor="H-S.C3.A4tze" w:tooltip="H- und P-Sätze" w:history="1">
              <w:r w:rsidRPr="009C5E28">
                <w:rPr>
                  <w:rStyle w:val="Hyperlink"/>
                  <w:sz w:val="20"/>
                </w:rPr>
                <w:t>302</w:t>
              </w:r>
            </w:hyperlink>
            <w:r w:rsidRPr="009C5E28">
              <w:rPr>
                <w:sz w:val="20"/>
              </w:rPr>
              <w:t>-</w:t>
            </w:r>
            <w:hyperlink r:id="rId13" w:anchor="H-S.C3.A4tze" w:tooltip="H- und P-Sätze" w:history="1">
              <w:r w:rsidRPr="009C5E28">
                <w:rPr>
                  <w:rStyle w:val="Hyperlink"/>
                  <w:sz w:val="20"/>
                </w:rPr>
                <w:t>412</w:t>
              </w:r>
            </w:hyperlink>
          </w:p>
        </w:tc>
        <w:tc>
          <w:tcPr>
            <w:tcW w:w="3118" w:type="dxa"/>
            <w:gridSpan w:val="3"/>
            <w:tcBorders>
              <w:bottom w:val="single" w:sz="4" w:space="0" w:color="5B9BD5" w:themeColor="accent1"/>
            </w:tcBorders>
            <w:shd w:val="clear" w:color="auto" w:fill="auto"/>
            <w:vAlign w:val="center"/>
          </w:tcPr>
          <w:p w:rsidR="005D72E7" w:rsidRPr="009C5E28" w:rsidRDefault="005D72E7" w:rsidP="000B072C">
            <w:pPr>
              <w:pStyle w:val="Beschriftung"/>
              <w:spacing w:after="0" w:line="360" w:lineRule="auto"/>
              <w:rPr>
                <w:sz w:val="20"/>
              </w:rPr>
            </w:pPr>
            <w:r w:rsidRPr="009C5E28">
              <w:rPr>
                <w:sz w:val="20"/>
              </w:rPr>
              <w:t xml:space="preserve">P: </w:t>
            </w:r>
            <w:hyperlink r:id="rId14" w:anchor="P-S.C3.A4tze" w:tooltip="H- und P-Sätze" w:history="1">
              <w:r w:rsidRPr="009C5E28">
                <w:rPr>
                  <w:rStyle w:val="Hyperlink"/>
                  <w:sz w:val="20"/>
                </w:rPr>
                <w:t>273</w:t>
              </w:r>
            </w:hyperlink>
            <w:r w:rsidRPr="009C5E28">
              <w:rPr>
                <w:sz w:val="20"/>
              </w:rPr>
              <w:t>-​</w:t>
            </w:r>
            <w:hyperlink r:id="rId15" w:anchor="P-S.C3.A4tze" w:tooltip="H- und P-Sätze" w:history="1">
              <w:r w:rsidRPr="009C5E28">
                <w:rPr>
                  <w:rStyle w:val="Hyperlink"/>
                  <w:sz w:val="20"/>
                </w:rPr>
                <w:t>302+352</w:t>
              </w:r>
            </w:hyperlink>
          </w:p>
        </w:tc>
      </w:tr>
      <w:tr w:rsidR="005D72E7" w:rsidRPr="009C5E28" w:rsidTr="000B072C">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5D72E7" w:rsidRDefault="005D72E7" w:rsidP="000B072C">
            <w:pPr>
              <w:spacing w:after="0"/>
              <w:rPr>
                <w:color w:val="auto"/>
                <w:sz w:val="20"/>
                <w:szCs w:val="20"/>
              </w:rPr>
            </w:pPr>
            <w:r>
              <w:rPr>
                <w:color w:val="auto"/>
                <w:sz w:val="20"/>
                <w:szCs w:val="20"/>
              </w:rPr>
              <w:t>Purpurogallin</w:t>
            </w:r>
          </w:p>
        </w:tc>
        <w:tc>
          <w:tcPr>
            <w:tcW w:w="3177" w:type="dxa"/>
            <w:gridSpan w:val="3"/>
            <w:tcBorders>
              <w:top w:val="single" w:sz="4" w:space="0" w:color="5B9BD5" w:themeColor="accent1"/>
              <w:bottom w:val="single" w:sz="4" w:space="0" w:color="5B9BD5" w:themeColor="accent1"/>
            </w:tcBorders>
            <w:shd w:val="clear" w:color="auto" w:fill="auto"/>
            <w:vAlign w:val="center"/>
          </w:tcPr>
          <w:p w:rsidR="005D72E7" w:rsidRPr="009C5E28" w:rsidRDefault="005D72E7" w:rsidP="000B072C">
            <w:pPr>
              <w:pStyle w:val="Beschriftung"/>
              <w:spacing w:after="0" w:line="360" w:lineRule="auto"/>
              <w:rPr>
                <w:sz w:val="20"/>
              </w:rPr>
            </w:pPr>
            <w:r>
              <w:rPr>
                <w:sz w:val="20"/>
              </w:rPr>
              <w:t>H: 315-319-335</w:t>
            </w:r>
          </w:p>
        </w:tc>
        <w:tc>
          <w:tcPr>
            <w:tcW w:w="3118" w:type="dxa"/>
            <w:gridSpan w:val="3"/>
            <w:tcBorders>
              <w:top w:val="single" w:sz="4" w:space="0" w:color="5B9BD5" w:themeColor="accent1"/>
              <w:bottom w:val="single" w:sz="4" w:space="0" w:color="5B9BD5" w:themeColor="accent1"/>
            </w:tcBorders>
            <w:shd w:val="clear" w:color="auto" w:fill="auto"/>
            <w:vAlign w:val="center"/>
          </w:tcPr>
          <w:p w:rsidR="005D72E7" w:rsidRPr="009C5E28" w:rsidRDefault="005D72E7" w:rsidP="000B072C">
            <w:pPr>
              <w:pStyle w:val="Beschriftung"/>
              <w:spacing w:after="0" w:line="360" w:lineRule="auto"/>
              <w:rPr>
                <w:sz w:val="20"/>
              </w:rPr>
            </w:pPr>
            <w:r>
              <w:rPr>
                <w:sz w:val="20"/>
              </w:rPr>
              <w:t>P: 261-305+351+338</w:t>
            </w:r>
          </w:p>
        </w:tc>
      </w:tr>
      <w:tr w:rsidR="005D72E7" w:rsidRPr="009C5E28" w:rsidTr="000B072C">
        <w:trPr>
          <w:trHeight w:val="434"/>
        </w:trPr>
        <w:tc>
          <w:tcPr>
            <w:tcW w:w="3027" w:type="dxa"/>
            <w:gridSpan w:val="3"/>
            <w:tcBorders>
              <w:top w:val="single" w:sz="4" w:space="0" w:color="5B9BD5" w:themeColor="accent1"/>
            </w:tcBorders>
            <w:shd w:val="clear" w:color="auto" w:fill="auto"/>
            <w:vAlign w:val="center"/>
          </w:tcPr>
          <w:p w:rsidR="005D72E7" w:rsidRDefault="005D72E7" w:rsidP="000B072C">
            <w:pPr>
              <w:spacing w:after="0"/>
              <w:rPr>
                <w:color w:val="auto"/>
                <w:sz w:val="20"/>
                <w:szCs w:val="20"/>
              </w:rPr>
            </w:pPr>
            <w:r>
              <w:rPr>
                <w:color w:val="auto"/>
                <w:sz w:val="20"/>
                <w:szCs w:val="20"/>
              </w:rPr>
              <w:t>Sauerstoff</w:t>
            </w:r>
          </w:p>
        </w:tc>
        <w:tc>
          <w:tcPr>
            <w:tcW w:w="3177" w:type="dxa"/>
            <w:gridSpan w:val="3"/>
            <w:tcBorders>
              <w:top w:val="single" w:sz="4" w:space="0" w:color="5B9BD5" w:themeColor="accent1"/>
            </w:tcBorders>
            <w:shd w:val="clear" w:color="auto" w:fill="auto"/>
            <w:vAlign w:val="center"/>
          </w:tcPr>
          <w:p w:rsidR="005D72E7" w:rsidRPr="009C5E28" w:rsidRDefault="005D72E7" w:rsidP="000B072C">
            <w:pPr>
              <w:pStyle w:val="Beschriftung"/>
              <w:spacing w:after="0" w:line="360" w:lineRule="auto"/>
              <w:rPr>
                <w:sz w:val="20"/>
              </w:rPr>
            </w:pPr>
            <w:r w:rsidRPr="009C5E28">
              <w:rPr>
                <w:sz w:val="20"/>
              </w:rPr>
              <w:t xml:space="preserve">H: </w:t>
            </w:r>
            <w:r>
              <w:t>270-280</w:t>
            </w:r>
          </w:p>
        </w:tc>
        <w:tc>
          <w:tcPr>
            <w:tcW w:w="3118" w:type="dxa"/>
            <w:gridSpan w:val="3"/>
            <w:tcBorders>
              <w:top w:val="single" w:sz="4" w:space="0" w:color="5B9BD5" w:themeColor="accent1"/>
            </w:tcBorders>
            <w:shd w:val="clear" w:color="auto" w:fill="auto"/>
            <w:vAlign w:val="center"/>
          </w:tcPr>
          <w:p w:rsidR="005D72E7" w:rsidRPr="009C5E28" w:rsidRDefault="005D72E7" w:rsidP="000B072C">
            <w:pPr>
              <w:pStyle w:val="Beschriftung"/>
              <w:spacing w:after="0" w:line="360" w:lineRule="auto"/>
              <w:rPr>
                <w:sz w:val="20"/>
              </w:rPr>
            </w:pPr>
            <w:r w:rsidRPr="009C5E28">
              <w:rPr>
                <w:sz w:val="20"/>
              </w:rPr>
              <w:t xml:space="preserve">P: </w:t>
            </w:r>
            <w:r>
              <w:rPr>
                <w:sz w:val="20"/>
              </w:rPr>
              <w:t>244-220-370+376-403</w:t>
            </w:r>
          </w:p>
        </w:tc>
      </w:tr>
      <w:tr w:rsidR="005D72E7" w:rsidRPr="009C5E28" w:rsidTr="000B072C">
        <w:tc>
          <w:tcPr>
            <w:tcW w:w="1009" w:type="dxa"/>
            <w:tcBorders>
              <w:top w:val="single" w:sz="8" w:space="0" w:color="4F81BD"/>
              <w:left w:val="single" w:sz="8" w:space="0" w:color="4F81BD"/>
              <w:bottom w:val="single" w:sz="8" w:space="0" w:color="4F81BD"/>
            </w:tcBorders>
            <w:shd w:val="clear" w:color="auto" w:fill="auto"/>
            <w:vAlign w:val="center"/>
          </w:tcPr>
          <w:p w:rsidR="005D72E7" w:rsidRPr="009C5E28" w:rsidRDefault="005D72E7" w:rsidP="000B072C">
            <w:pPr>
              <w:spacing w:after="0"/>
              <w:rPr>
                <w:b/>
                <w:bCs/>
              </w:rPr>
            </w:pPr>
            <w:r>
              <w:rPr>
                <w:b/>
                <w:noProof/>
                <w:lang w:eastAsia="de-DE"/>
              </w:rPr>
              <w:drawing>
                <wp:inline distT="0" distB="0" distL="0" distR="0" wp14:anchorId="4C7F579B" wp14:editId="4C50BF8E">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D72E7" w:rsidRPr="009C5E28" w:rsidRDefault="005D72E7" w:rsidP="000B072C">
            <w:pPr>
              <w:spacing w:after="0"/>
            </w:pPr>
            <w:r>
              <w:rPr>
                <w:noProof/>
                <w:lang w:eastAsia="de-DE"/>
              </w:rPr>
              <w:drawing>
                <wp:inline distT="0" distB="0" distL="0" distR="0" wp14:anchorId="50D19A27" wp14:editId="1413B5C5">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D72E7" w:rsidRPr="009C5E28" w:rsidRDefault="005D72E7" w:rsidP="000B072C">
            <w:pPr>
              <w:spacing w:after="0"/>
            </w:pPr>
            <w:r>
              <w:rPr>
                <w:noProof/>
                <w:lang w:eastAsia="de-DE"/>
              </w:rPr>
              <w:drawing>
                <wp:inline distT="0" distB="0" distL="0" distR="0" wp14:anchorId="5330F3BF" wp14:editId="1803D489">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D72E7" w:rsidRPr="009C5E28" w:rsidRDefault="005D72E7" w:rsidP="000B072C">
            <w:pPr>
              <w:spacing w:after="0"/>
            </w:pPr>
            <w:r>
              <w:rPr>
                <w:noProof/>
                <w:lang w:eastAsia="de-DE"/>
              </w:rPr>
              <w:drawing>
                <wp:inline distT="0" distB="0" distL="0" distR="0" wp14:anchorId="65FD3FB1" wp14:editId="3F8164C8">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D72E7" w:rsidRPr="009C5E28" w:rsidRDefault="005D72E7" w:rsidP="000B072C">
            <w:pPr>
              <w:spacing w:after="0"/>
            </w:pPr>
            <w:r>
              <w:rPr>
                <w:noProof/>
                <w:lang w:eastAsia="de-DE"/>
              </w:rPr>
              <w:drawing>
                <wp:inline distT="0" distB="0" distL="0" distR="0" wp14:anchorId="620433AE" wp14:editId="563F910C">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D72E7" w:rsidRPr="009C5E28" w:rsidRDefault="005D72E7" w:rsidP="000B072C">
            <w:pPr>
              <w:spacing w:after="0"/>
            </w:pPr>
            <w:r>
              <w:rPr>
                <w:noProof/>
                <w:lang w:eastAsia="de-DE"/>
              </w:rPr>
              <w:drawing>
                <wp:inline distT="0" distB="0" distL="0" distR="0" wp14:anchorId="5FAC5658" wp14:editId="717957C4">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D72E7" w:rsidRPr="009C5E28" w:rsidRDefault="005D72E7" w:rsidP="000B072C">
            <w:pPr>
              <w:spacing w:after="0"/>
            </w:pPr>
            <w:r>
              <w:rPr>
                <w:noProof/>
                <w:lang w:eastAsia="de-DE"/>
              </w:rPr>
              <w:drawing>
                <wp:inline distT="0" distB="0" distL="0" distR="0" wp14:anchorId="5728E653" wp14:editId="5718DC3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D72E7" w:rsidRPr="009C5E28" w:rsidRDefault="005D72E7" w:rsidP="000B072C">
            <w:pPr>
              <w:spacing w:after="0"/>
            </w:pPr>
            <w:r>
              <w:rPr>
                <w:noProof/>
                <w:lang w:eastAsia="de-DE"/>
              </w:rPr>
              <w:drawing>
                <wp:inline distT="0" distB="0" distL="0" distR="0" wp14:anchorId="6FC3F5B3" wp14:editId="4BB5D32E">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D72E7" w:rsidRPr="009C5E28" w:rsidRDefault="005D72E7" w:rsidP="000B072C">
            <w:pPr>
              <w:spacing w:after="0"/>
            </w:pPr>
            <w:r>
              <w:rPr>
                <w:noProof/>
                <w:lang w:eastAsia="de-DE"/>
              </w:rPr>
              <w:drawing>
                <wp:inline distT="0" distB="0" distL="0" distR="0" wp14:anchorId="19736EFE" wp14:editId="7C75D399">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D72E7" w:rsidRDefault="005D72E7" w:rsidP="005D72E7">
      <w:pPr>
        <w:tabs>
          <w:tab w:val="left" w:pos="1701"/>
          <w:tab w:val="left" w:pos="1985"/>
        </w:tabs>
        <w:ind w:left="1980" w:hanging="1980"/>
      </w:pPr>
    </w:p>
    <w:p w:rsidR="005D72E7" w:rsidRDefault="005D72E7" w:rsidP="005D72E7">
      <w:pPr>
        <w:tabs>
          <w:tab w:val="left" w:pos="1701"/>
          <w:tab w:val="left" w:pos="1985"/>
        </w:tabs>
        <w:ind w:left="1980" w:hanging="1980"/>
      </w:pPr>
      <w:r>
        <w:t xml:space="preserve">Materialien: </w:t>
      </w:r>
      <w:r>
        <w:tab/>
      </w:r>
      <w:r>
        <w:tab/>
        <w:t>Stativmaterial, Becherglas, Reagenzgläser, pneumatische Wanne</w:t>
      </w:r>
    </w:p>
    <w:p w:rsidR="005D72E7" w:rsidRPr="00ED07C2" w:rsidRDefault="005D72E7" w:rsidP="005D72E7">
      <w:pPr>
        <w:tabs>
          <w:tab w:val="left" w:pos="1701"/>
          <w:tab w:val="left" w:pos="1985"/>
        </w:tabs>
        <w:ind w:left="1980" w:hanging="1980"/>
      </w:pPr>
      <w:r>
        <w:t>Chemikalien:</w:t>
      </w:r>
      <w:r>
        <w:tab/>
      </w:r>
      <w:r>
        <w:tab/>
        <w:t>Pyrogallol, Wasser, Sauerstoff</w:t>
      </w:r>
    </w:p>
    <w:p w:rsidR="005D72E7" w:rsidRDefault="005D72E7" w:rsidP="005D72E7">
      <w:pPr>
        <w:tabs>
          <w:tab w:val="left" w:pos="1701"/>
          <w:tab w:val="left" w:pos="1985"/>
        </w:tabs>
        <w:ind w:left="1980" w:hanging="1980"/>
      </w:pPr>
      <w:r>
        <w:t xml:space="preserve">Durchführung: </w:t>
      </w:r>
      <w:r>
        <w:tab/>
      </w:r>
      <w:r>
        <w:tab/>
      </w:r>
      <w:r>
        <w:tab/>
        <w:t>Ein Reagenzglas mit Raumluft wird mit der Öffnung nach unten in eine fünfprozentige Pyrogallollösung getaucht. Die Pyrogallollösung muss dabei frisch angesetzt werden, da sie sofort mit Luftsauerstoff reagiert. In einem zweiten Reagenzglas wird Sauerstoff pneumatisch aufgefangen und ebenfalls in der Pyrogallollösung platziert. Nun wird das gleiche Volumen zehnprozentiger Natronlauge zu der Pyrogallollösung hinzugegeben.</w:t>
      </w:r>
    </w:p>
    <w:p w:rsidR="005D72E7" w:rsidRDefault="005D72E7" w:rsidP="005D72E7">
      <w:pPr>
        <w:tabs>
          <w:tab w:val="left" w:pos="1701"/>
          <w:tab w:val="left" w:pos="1985"/>
        </w:tabs>
        <w:ind w:left="1980" w:hanging="1980"/>
      </w:pPr>
      <w:r>
        <w:t>Beobachtung:</w:t>
      </w:r>
      <w:r>
        <w:tab/>
      </w:r>
      <w:r>
        <w:tab/>
      </w:r>
      <w:r>
        <w:tab/>
        <w:t>Im Verlauf der Reaktion verfärbt sich die zunächst farblose Pyrogallollösung braun. Die Lösung steigt in dem Reagenzglas mit der Raumluft in einem Zeitrahmen von 2 Tagen auf. In dem mit Sauerstoff befüllten Reagenzglas steigt die Flüssigkeitssäule fast bis zum geschlossenen Ende.</w:t>
      </w:r>
    </w:p>
    <w:p w:rsidR="005D72E7" w:rsidRDefault="005D72E7" w:rsidP="005D72E7">
      <w:pPr>
        <w:keepNext/>
        <w:tabs>
          <w:tab w:val="left" w:pos="1701"/>
          <w:tab w:val="left" w:pos="1985"/>
        </w:tabs>
        <w:ind w:left="1980" w:hanging="1980"/>
        <w:jc w:val="center"/>
      </w:pPr>
      <w:r>
        <w:rPr>
          <w:noProof/>
          <w:lang w:eastAsia="de-DE"/>
        </w:rPr>
        <w:lastRenderedPageBreak/>
        <w:drawing>
          <wp:inline distT="0" distB="0" distL="0" distR="0" wp14:anchorId="4F437FCE" wp14:editId="6B8AD8FA">
            <wp:extent cx="971783" cy="2101094"/>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971783" cy="2101094"/>
                    </a:xfrm>
                    <a:prstGeom prst="rect">
                      <a:avLst/>
                    </a:prstGeom>
                    <a:noFill/>
                    <a:ln w="9525">
                      <a:noFill/>
                      <a:miter lim="800000"/>
                      <a:headEnd/>
                      <a:tailEnd/>
                    </a:ln>
                  </pic:spPr>
                </pic:pic>
              </a:graphicData>
            </a:graphic>
          </wp:inline>
        </w:drawing>
      </w:r>
    </w:p>
    <w:p w:rsidR="005D72E7" w:rsidRPr="001E63CC" w:rsidRDefault="005D72E7" w:rsidP="005D72E7">
      <w:pPr>
        <w:pStyle w:val="Beschriftung"/>
        <w:spacing w:line="360" w:lineRule="auto"/>
        <w:jc w:val="center"/>
        <w:rPr>
          <w:noProof/>
        </w:rPr>
      </w:pPr>
      <w:r>
        <w:t xml:space="preserve">Abb. </w:t>
      </w:r>
      <w:r>
        <w:fldChar w:fldCharType="begin"/>
      </w:r>
      <w:r>
        <w:instrText xml:space="preserve"> SEQ Abb. \* ARABIC </w:instrText>
      </w:r>
      <w:r>
        <w:fldChar w:fldCharType="separate"/>
      </w:r>
      <w:r>
        <w:rPr>
          <w:noProof/>
        </w:rPr>
        <w:t>1</w:t>
      </w:r>
      <w:r>
        <w:rPr>
          <w:noProof/>
        </w:rPr>
        <w:fldChar w:fldCharType="end"/>
      </w:r>
      <w:r>
        <w:t xml:space="preserve"> – </w:t>
      </w:r>
      <w:r>
        <w:rPr>
          <w:noProof/>
        </w:rPr>
        <w:t>Versuchsaufbau zur Sauerstoffgehaltsbestimmung mit alkalischer Pyrogallollösung.</w:t>
      </w:r>
      <w:r>
        <w:rPr>
          <w:noProof/>
        </w:rPr>
        <w:br/>
        <w:t>Das Foto zeigt das Ergebnis der Reaktion.</w:t>
      </w:r>
    </w:p>
    <w:p w:rsidR="005D72E7" w:rsidRDefault="005D72E7" w:rsidP="005D72E7">
      <w:pPr>
        <w:tabs>
          <w:tab w:val="left" w:pos="1701"/>
          <w:tab w:val="left" w:pos="1985"/>
        </w:tabs>
        <w:ind w:left="1985" w:hanging="2124"/>
        <w:rPr>
          <w:rFonts w:eastAsiaTheme="minorEastAsia"/>
        </w:rPr>
      </w:pPr>
      <w:r>
        <w:t>Deutung:</w:t>
      </w:r>
      <w:r>
        <w:tab/>
      </w:r>
      <w:r>
        <w:tab/>
      </w:r>
      <w:r>
        <w:rPr>
          <w:rFonts w:eastAsiaTheme="minorEastAsia"/>
        </w:rPr>
        <w:t>In dem Reagenzglas mit Luft werden etwa 20% des Gesamtgasvolumens verbraucht. In dem Reagenzglas mit reinem Sauerstoff werden nahezu 100% des Gesamtvolumens durch die Reaktion mit dem Pyrogallol verbraucht.</w:t>
      </w:r>
    </w:p>
    <w:p w:rsidR="005D72E7" w:rsidRDefault="005D72E7" w:rsidP="005D72E7">
      <w:pPr>
        <w:tabs>
          <w:tab w:val="left" w:pos="1701"/>
          <w:tab w:val="left" w:pos="1985"/>
        </w:tabs>
        <w:ind w:left="1985" w:hanging="2124"/>
      </w:pPr>
      <w:r>
        <w:tab/>
      </w:r>
      <w:r>
        <w:tab/>
        <w:t>Pyrogallol dient als Indikator für Sauerstoff und färbt sich in der Reaktion mit diesem braun (die tatsächliche Reaktion zu Purpurogallin wird an dieser Stelle didaktisch reduziert):</w:t>
      </w:r>
    </w:p>
    <w:p w:rsidR="005D72E7" w:rsidRDefault="005D72E7" w:rsidP="005D72E7">
      <w:pPr>
        <w:tabs>
          <w:tab w:val="left" w:pos="1701"/>
          <w:tab w:val="left" w:pos="1985"/>
        </w:tabs>
        <w:ind w:left="1985" w:hanging="2124"/>
        <w:jc w:val="center"/>
        <w:rPr>
          <w:rFonts w:eastAsiaTheme="minorEastAsia"/>
        </w:rPr>
      </w:pPr>
      <w:r>
        <w:rPr>
          <w:rFonts w:eastAsiaTheme="minorEastAsia"/>
          <w:noProof/>
          <w:lang w:eastAsia="de-DE"/>
        </w:rPr>
        <w:drawing>
          <wp:inline distT="0" distB="0" distL="0" distR="0" wp14:anchorId="48B2D22D" wp14:editId="0F35DCCC">
            <wp:extent cx="3333607" cy="1042170"/>
            <wp:effectExtent l="0" t="0" r="63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name01.png"/>
                    <pic:cNvPicPr/>
                  </pic:nvPicPr>
                  <pic:blipFill>
                    <a:blip r:embed="rId26">
                      <a:extLst>
                        <a:ext uri="{28A0092B-C50C-407E-A947-70E740481C1C}">
                          <a14:useLocalDpi xmlns:a14="http://schemas.microsoft.com/office/drawing/2010/main" val="0"/>
                        </a:ext>
                      </a:extLst>
                    </a:blip>
                    <a:stretch>
                      <a:fillRect/>
                    </a:stretch>
                  </pic:blipFill>
                  <pic:spPr>
                    <a:xfrm>
                      <a:off x="0" y="0"/>
                      <a:ext cx="3361181" cy="1050790"/>
                    </a:xfrm>
                    <a:prstGeom prst="rect">
                      <a:avLst/>
                    </a:prstGeom>
                  </pic:spPr>
                </pic:pic>
              </a:graphicData>
            </a:graphic>
          </wp:inline>
        </w:drawing>
      </w:r>
    </w:p>
    <w:p w:rsidR="005D72E7" w:rsidRDefault="005D72E7" w:rsidP="005D72E7">
      <w:pPr>
        <w:ind w:left="1985" w:hanging="1985"/>
      </w:pPr>
      <w:r>
        <w:t>Entsorgung:</w:t>
      </w:r>
      <w:r>
        <w:tab/>
        <w:t xml:space="preserve">Die Entsorgung der Lösung erfolgt nach einer Neutralisation in den organischen Lösungsmittelabfall. </w:t>
      </w:r>
    </w:p>
    <w:p w:rsidR="005D72E7" w:rsidRDefault="005D72E7" w:rsidP="005D72E7">
      <w:pPr>
        <w:ind w:left="1985" w:hanging="1985"/>
      </w:pPr>
      <w:r>
        <w:t>Literatur:</w:t>
      </w:r>
      <w:r>
        <w:tab/>
        <w:t>[1] H. Schmidkunz, Chemische Freihandversuche, Band 1, 2011, S.198</w:t>
      </w:r>
    </w:p>
    <w:p w:rsidR="00D73F5D" w:rsidRPr="005D72E7" w:rsidRDefault="00D73F5D" w:rsidP="005D72E7">
      <w:bookmarkStart w:id="2" w:name="_GoBack"/>
      <w:bookmarkEnd w:id="2"/>
    </w:p>
    <w:sectPr w:rsidR="00D73F5D" w:rsidRPr="005D72E7">
      <w:footerReference w:type="default" r:id="rId27"/>
      <w:footerReference w:type="first" r:id="rId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02337"/>
      <w:docPartObj>
        <w:docPartGallery w:val="Page Numbers (Bottom of Page)"/>
        <w:docPartUnique/>
      </w:docPartObj>
    </w:sdtPr>
    <w:sdtEndPr/>
    <w:sdtContent>
      <w:p w:rsidR="0099183C" w:rsidRDefault="005D72E7">
        <w:pPr>
          <w:pStyle w:val="Fuzeile"/>
          <w:jc w:val="center"/>
        </w:pPr>
        <w:r>
          <w:fldChar w:fldCharType="begin"/>
        </w:r>
        <w:r>
          <w:instrText>PAGE   \* MERGEFORMAT</w:instrText>
        </w:r>
        <w:r>
          <w:fldChar w:fldCharType="separate"/>
        </w:r>
        <w:r>
          <w:rPr>
            <w:noProof/>
          </w:rPr>
          <w:t>2</w:t>
        </w:r>
        <w:r>
          <w:fldChar w:fldCharType="end"/>
        </w:r>
      </w:p>
    </w:sdtContent>
  </w:sdt>
  <w:p w:rsidR="0099183C" w:rsidRDefault="005D72E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3C" w:rsidRDefault="005D72E7">
    <w:pPr>
      <w:pStyle w:val="Fuzeile"/>
      <w:jc w:val="center"/>
    </w:pPr>
  </w:p>
  <w:p w:rsidR="0099183C" w:rsidRDefault="005D72E7">
    <w:pPr>
      <w:pStyle w:val="Fuzeil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517F"/>
    <w:multiLevelType w:val="hybridMultilevel"/>
    <w:tmpl w:val="83560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6D7C6E50"/>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525D8E"/>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1C7E4D"/>
    <w:rsid w:val="00240CE2"/>
    <w:rsid w:val="003143CC"/>
    <w:rsid w:val="003D42D3"/>
    <w:rsid w:val="005D72E7"/>
    <w:rsid w:val="00611594"/>
    <w:rsid w:val="007D4813"/>
    <w:rsid w:val="008F5648"/>
    <w:rsid w:val="00980F3F"/>
    <w:rsid w:val="00A3064F"/>
    <w:rsid w:val="00C20C1B"/>
    <w:rsid w:val="00C443B4"/>
    <w:rsid w:val="00D73F5D"/>
    <w:rsid w:val="00E46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30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uiPriority w:val="9"/>
    <w:unhideWhenUsed/>
    <w:qFormat/>
    <w:rsid w:val="003D42D3"/>
    <w:pPr>
      <w:keepNext/>
      <w:keepLines/>
      <w:spacing w:before="40" w:after="0"/>
      <w:outlineLvl w:val="1"/>
    </w:pPr>
    <w:rPr>
      <w:rFonts w:eastAsia="MS Gothic" w:cstheme="majorBidi"/>
      <w:b/>
      <w:sz w:val="26"/>
      <w:szCs w:val="26"/>
    </w:rPr>
  </w:style>
  <w:style w:type="paragraph" w:styleId="berschrift3">
    <w:name w:val="heading 3"/>
    <w:basedOn w:val="Standard"/>
    <w:next w:val="Standard"/>
    <w:link w:val="berschrift3Zchn"/>
    <w:uiPriority w:val="9"/>
    <w:unhideWhenUsed/>
    <w:qFormat/>
    <w:rsid w:val="00980F3F"/>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80F3F"/>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80F3F"/>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80F3F"/>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80F3F"/>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0F3F"/>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0F3F"/>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 w:type="paragraph" w:styleId="Fuzeile">
    <w:name w:val="footer"/>
    <w:basedOn w:val="Standard"/>
    <w:link w:val="FuzeileZchn"/>
    <w:uiPriority w:val="99"/>
    <w:unhideWhenUsed/>
    <w:rsid w:val="00314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3CC"/>
    <w:rPr>
      <w:rFonts w:ascii="Cambria" w:hAnsi="Cambria"/>
      <w:color w:val="171717" w:themeColor="background2" w:themeShade="1A"/>
    </w:rPr>
  </w:style>
  <w:style w:type="character" w:customStyle="1" w:styleId="berschrift1Zchn">
    <w:name w:val="Überschrift 1 Zchn"/>
    <w:basedOn w:val="Absatz-Standardschriftart"/>
    <w:link w:val="berschrift1"/>
    <w:uiPriority w:val="9"/>
    <w:rsid w:val="00A3064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3064F"/>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30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64F"/>
    <w:rPr>
      <w:rFonts w:ascii="Cambria" w:hAnsi="Cambria"/>
      <w:color w:val="171717" w:themeColor="background2" w:themeShade="1A"/>
    </w:rPr>
  </w:style>
  <w:style w:type="character" w:customStyle="1" w:styleId="mw-mmv-title">
    <w:name w:val="mw-mmv-title"/>
    <w:basedOn w:val="Absatz-Standardschriftart"/>
    <w:rsid w:val="00A3064F"/>
  </w:style>
  <w:style w:type="character" w:styleId="HTMLZitat">
    <w:name w:val="HTML Cite"/>
    <w:basedOn w:val="Absatz-Standardschriftart"/>
    <w:uiPriority w:val="99"/>
    <w:semiHidden/>
    <w:unhideWhenUsed/>
    <w:rsid w:val="008F5648"/>
    <w:rPr>
      <w:i/>
      <w:iCs/>
    </w:rPr>
  </w:style>
  <w:style w:type="character" w:customStyle="1" w:styleId="berschrift3Zchn">
    <w:name w:val="Überschrift 3 Zchn"/>
    <w:basedOn w:val="Absatz-Standardschriftart"/>
    <w:link w:val="berschrift3"/>
    <w:uiPriority w:val="9"/>
    <w:rsid w:val="00980F3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80F3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80F3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80F3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80F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80F3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80F3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hyperlink" Target="http://de.wikipedia.org/wiki/H-_und_P-S%C3%A4tze" TargetMode="External"/><Relationship Id="rId18" Type="http://schemas.openxmlformats.org/officeDocument/2006/relationships/image" Target="media/image3.jpe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de.wikipedia.org/wiki/H-_und_P-S%C3%A4tze" TargetMode="External"/><Relationship Id="rId12" Type="http://schemas.openxmlformats.org/officeDocument/2006/relationships/hyperlink" Target="http://de.wikipedia.org/wiki/H-_und_P-S%C3%A4tze" TargetMode="External"/><Relationship Id="rId17" Type="http://schemas.openxmlformats.org/officeDocument/2006/relationships/image" Target="media/image2.pn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hyperlink" Target="http://de.wikipedia.org/wiki/H-_und_P-S%C3%A4tze" TargetMode="External"/><Relationship Id="rId24" Type="http://schemas.openxmlformats.org/officeDocument/2006/relationships/image" Target="media/image9.jpeg"/><Relationship Id="rId5" Type="http://schemas.openxmlformats.org/officeDocument/2006/relationships/hyperlink" Target="http://de.wikipedia.org/wiki/H-_und_P-S%C3%A4tze" TargetMode="External"/><Relationship Id="rId15" Type="http://schemas.openxmlformats.org/officeDocument/2006/relationships/hyperlink" Target="http://de.wikipedia.org/wiki/H-_und_P-S%C3%A4tze" TargetMode="External"/><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hyperlink" Target="http://de.wikipedia.org/wiki/H-_und_P-S%C3%A4tze"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hyperlink" Target="http://de.wikipedia.org/wiki/H-_und_P-S%C3%A4tze" TargetMode="External"/><Relationship Id="rId22" Type="http://schemas.openxmlformats.org/officeDocument/2006/relationships/image" Target="media/image7.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2</cp:revision>
  <dcterms:created xsi:type="dcterms:W3CDTF">2016-08-09T06:46:00Z</dcterms:created>
  <dcterms:modified xsi:type="dcterms:W3CDTF">2016-08-09T06:46:00Z</dcterms:modified>
</cp:coreProperties>
</file>