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540"/>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83A16" w:rsidRPr="00AE7D75" w:rsidTr="00083A16">
        <w:tc>
          <w:tcPr>
            <w:tcW w:w="9322" w:type="dxa"/>
            <w:gridSpan w:val="9"/>
            <w:shd w:val="clear" w:color="auto" w:fill="4F81BD"/>
            <w:vAlign w:val="center"/>
          </w:tcPr>
          <w:p w:rsidR="00083A16" w:rsidRPr="00AE7D75" w:rsidRDefault="00083A16" w:rsidP="00083A16">
            <w:pPr>
              <w:spacing w:after="0"/>
              <w:contextualSpacing/>
              <w:jc w:val="center"/>
              <w:rPr>
                <w:b/>
                <w:bCs/>
                <w:color w:val="FFFFFF" w:themeColor="background1"/>
              </w:rPr>
            </w:pPr>
            <w:bookmarkStart w:id="0" w:name="_Toc457456873"/>
            <w:bookmarkStart w:id="1" w:name="_Toc457763277"/>
            <w:r w:rsidRPr="00AE7D75">
              <w:rPr>
                <w:b/>
                <w:bCs/>
                <w:color w:val="FFFFFF" w:themeColor="background1"/>
              </w:rPr>
              <w:t>Gefahrenstoffe</w:t>
            </w:r>
          </w:p>
        </w:tc>
      </w:tr>
      <w:tr w:rsidR="00083A16" w:rsidRPr="00AE7D75" w:rsidTr="00083A1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83A16" w:rsidRPr="00AE7D75" w:rsidRDefault="00083A16" w:rsidP="00083A16">
            <w:pPr>
              <w:spacing w:after="0" w:line="276" w:lineRule="auto"/>
              <w:contextualSpacing/>
              <w:jc w:val="center"/>
              <w:rPr>
                <w:b/>
                <w:bCs/>
              </w:rPr>
            </w:pPr>
            <w:r w:rsidRPr="00AE7D75">
              <w:rPr>
                <w:sz w:val="20"/>
              </w:rPr>
              <w:t>Kaliumnitrat</w:t>
            </w:r>
          </w:p>
        </w:tc>
        <w:tc>
          <w:tcPr>
            <w:tcW w:w="3177" w:type="dxa"/>
            <w:gridSpan w:val="3"/>
            <w:tcBorders>
              <w:top w:val="single" w:sz="8" w:space="0" w:color="4F81BD"/>
              <w:bottom w:val="single" w:sz="8" w:space="0" w:color="4F81BD"/>
            </w:tcBorders>
            <w:shd w:val="clear" w:color="auto" w:fill="auto"/>
            <w:vAlign w:val="center"/>
          </w:tcPr>
          <w:p w:rsidR="00083A16" w:rsidRPr="00AE7D75" w:rsidRDefault="00083A16" w:rsidP="00083A16">
            <w:pPr>
              <w:spacing w:after="0"/>
              <w:contextualSpacing/>
              <w:jc w:val="center"/>
            </w:pPr>
            <w:r w:rsidRPr="00AE7D75">
              <w:rPr>
                <w:sz w:val="20"/>
              </w:rPr>
              <w:t xml:space="preserve">H: </w:t>
            </w:r>
            <w:hyperlink r:id="rId5" w:anchor="H-S.C3.A4tze" w:tooltip="H- und P-Sätze" w:history="1">
              <w:r w:rsidRPr="00AE7D75">
                <w:rPr>
                  <w:rStyle w:val="Hyperlink"/>
                  <w:color w:val="auto"/>
                  <w:sz w:val="20"/>
                </w:rPr>
                <w:t>332</w:t>
              </w:r>
            </w:hyperlink>
            <w:r w:rsidRPr="00AE7D75">
              <w:rPr>
                <w:sz w:val="20"/>
              </w:rPr>
              <w:t>-</w:t>
            </w:r>
            <w:hyperlink r:id="rId6" w:anchor="H-S.C3.A4tze" w:tooltip="H- und P-Sätze" w:history="1">
              <w:r w:rsidRPr="00AE7D75">
                <w:rPr>
                  <w:rStyle w:val="Hyperlink"/>
                  <w:color w:val="auto"/>
                  <w:sz w:val="20"/>
                </w:rPr>
                <w:t>302</w:t>
              </w:r>
            </w:hyperlink>
            <w:r w:rsidRPr="00AE7D75">
              <w:rPr>
                <w:sz w:val="20"/>
              </w:rPr>
              <w:t>-</w:t>
            </w:r>
            <w:hyperlink r:id="rId7" w:anchor="H-S.C3.A4tze" w:tooltip="H- und P-Sätze" w:history="1">
              <w:r w:rsidRPr="00AE7D75">
                <w:rPr>
                  <w:rStyle w:val="Hyperlink"/>
                  <w:color w:val="auto"/>
                  <w:sz w:val="20"/>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83A16" w:rsidRPr="00AE7D75" w:rsidRDefault="00083A16" w:rsidP="00083A16">
            <w:pPr>
              <w:spacing w:after="0"/>
              <w:contextualSpacing/>
              <w:jc w:val="center"/>
            </w:pPr>
            <w:r w:rsidRPr="00AE7D75">
              <w:rPr>
                <w:sz w:val="20"/>
              </w:rPr>
              <w:t xml:space="preserve">P: </w:t>
            </w:r>
            <w:hyperlink r:id="rId8" w:anchor="P-S.C3.A4tze" w:tooltip="H- und P-Sätze" w:history="1">
              <w:r w:rsidRPr="00AE7D75">
                <w:rPr>
                  <w:rStyle w:val="Hyperlink"/>
                  <w:color w:val="auto"/>
                  <w:sz w:val="20"/>
                </w:rPr>
                <w:t>280</w:t>
              </w:r>
            </w:hyperlink>
            <w:r w:rsidRPr="00AE7D75">
              <w:rPr>
                <w:sz w:val="20"/>
              </w:rPr>
              <w:t>-​</w:t>
            </w:r>
            <w:hyperlink r:id="rId9" w:anchor="P-S.C3.A4tze" w:tooltip="H- und P-Sätze" w:history="1">
              <w:r w:rsidRPr="00AE7D75">
                <w:rPr>
                  <w:rStyle w:val="Hyperlink"/>
                  <w:color w:val="auto"/>
                  <w:sz w:val="20"/>
                </w:rPr>
                <w:t>301+330+331</w:t>
              </w:r>
            </w:hyperlink>
          </w:p>
        </w:tc>
      </w:tr>
      <w:tr w:rsidR="00083A16" w:rsidRPr="00AE7D75" w:rsidTr="00083A16">
        <w:trPr>
          <w:trHeight w:val="434"/>
        </w:trPr>
        <w:tc>
          <w:tcPr>
            <w:tcW w:w="3027" w:type="dxa"/>
            <w:gridSpan w:val="3"/>
            <w:tcBorders>
              <w:bottom w:val="single" w:sz="4" w:space="0" w:color="5B9BD5" w:themeColor="accent1"/>
            </w:tcBorders>
            <w:shd w:val="clear" w:color="auto" w:fill="auto"/>
            <w:vAlign w:val="center"/>
          </w:tcPr>
          <w:p w:rsidR="00083A16" w:rsidRPr="00AE7D75" w:rsidRDefault="00083A16" w:rsidP="00083A16">
            <w:pPr>
              <w:spacing w:after="0" w:line="276" w:lineRule="auto"/>
              <w:contextualSpacing/>
              <w:jc w:val="center"/>
              <w:rPr>
                <w:bCs/>
                <w:sz w:val="20"/>
              </w:rPr>
            </w:pPr>
            <w:r w:rsidRPr="00AE7D75">
              <w:rPr>
                <w:color w:val="auto"/>
                <w:sz w:val="20"/>
                <w:szCs w:val="20"/>
              </w:rPr>
              <w:t>Sauerstoff</w:t>
            </w:r>
          </w:p>
        </w:tc>
        <w:tc>
          <w:tcPr>
            <w:tcW w:w="3177" w:type="dxa"/>
            <w:gridSpan w:val="3"/>
            <w:tcBorders>
              <w:bottom w:val="single" w:sz="4" w:space="0" w:color="5B9BD5" w:themeColor="accent1"/>
            </w:tcBorders>
            <w:shd w:val="clear" w:color="auto" w:fill="auto"/>
            <w:vAlign w:val="center"/>
          </w:tcPr>
          <w:p w:rsidR="00083A16" w:rsidRPr="00AE7D75" w:rsidRDefault="00083A16" w:rsidP="00083A16">
            <w:pPr>
              <w:pStyle w:val="Beschriftung"/>
              <w:spacing w:after="0"/>
              <w:contextualSpacing/>
              <w:jc w:val="center"/>
              <w:rPr>
                <w:sz w:val="20"/>
              </w:rPr>
            </w:pPr>
            <w:r w:rsidRPr="00AE7D75">
              <w:rPr>
                <w:sz w:val="20"/>
              </w:rPr>
              <w:t xml:space="preserve">H: </w:t>
            </w:r>
            <w:r w:rsidRPr="00AE7D75">
              <w:t>270-280</w:t>
            </w:r>
          </w:p>
        </w:tc>
        <w:tc>
          <w:tcPr>
            <w:tcW w:w="3118" w:type="dxa"/>
            <w:gridSpan w:val="3"/>
            <w:tcBorders>
              <w:bottom w:val="single" w:sz="4" w:space="0" w:color="5B9BD5" w:themeColor="accent1"/>
            </w:tcBorders>
            <w:shd w:val="clear" w:color="auto" w:fill="auto"/>
            <w:vAlign w:val="center"/>
          </w:tcPr>
          <w:p w:rsidR="00083A16" w:rsidRPr="00AE7D75" w:rsidRDefault="00083A16" w:rsidP="00083A16">
            <w:pPr>
              <w:pStyle w:val="Beschriftung"/>
              <w:spacing w:after="0"/>
              <w:contextualSpacing/>
              <w:jc w:val="center"/>
              <w:rPr>
                <w:sz w:val="20"/>
              </w:rPr>
            </w:pPr>
            <w:r w:rsidRPr="00AE7D75">
              <w:rPr>
                <w:sz w:val="20"/>
              </w:rPr>
              <w:t>P: 244-220-370+376-403</w:t>
            </w:r>
          </w:p>
        </w:tc>
      </w:tr>
      <w:tr w:rsidR="00083A16" w:rsidRPr="00AE7D75" w:rsidTr="00083A16">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083A16" w:rsidRPr="00AE7D75" w:rsidRDefault="00083A16" w:rsidP="00083A16">
            <w:pPr>
              <w:spacing w:after="0" w:line="276" w:lineRule="auto"/>
              <w:contextualSpacing/>
              <w:jc w:val="center"/>
              <w:rPr>
                <w:color w:val="auto"/>
                <w:sz w:val="20"/>
                <w:szCs w:val="20"/>
              </w:rPr>
            </w:pPr>
            <w:r w:rsidRPr="00AE7D75">
              <w:rPr>
                <w:color w:val="auto"/>
                <w:sz w:val="20"/>
                <w:szCs w:val="20"/>
              </w:rPr>
              <w:t>Stickoxide</w:t>
            </w:r>
          </w:p>
        </w:tc>
        <w:tc>
          <w:tcPr>
            <w:tcW w:w="3177" w:type="dxa"/>
            <w:gridSpan w:val="3"/>
            <w:tcBorders>
              <w:top w:val="single" w:sz="4" w:space="0" w:color="5B9BD5" w:themeColor="accent1"/>
              <w:bottom w:val="single" w:sz="4" w:space="0" w:color="5B9BD5" w:themeColor="accent1"/>
            </w:tcBorders>
            <w:shd w:val="clear" w:color="auto" w:fill="auto"/>
            <w:vAlign w:val="center"/>
          </w:tcPr>
          <w:p w:rsidR="00083A16" w:rsidRPr="00AE7D75" w:rsidRDefault="00083A16" w:rsidP="00083A16">
            <w:pPr>
              <w:pStyle w:val="Beschriftung"/>
              <w:spacing w:after="0"/>
              <w:contextualSpacing/>
              <w:jc w:val="center"/>
              <w:rPr>
                <w:sz w:val="20"/>
              </w:rPr>
            </w:pPr>
            <w:r w:rsidRPr="00AE7D75">
              <w:rPr>
                <w:sz w:val="20"/>
              </w:rPr>
              <w:t>H: 270-330-314-280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083A16" w:rsidRPr="00AE7D75" w:rsidRDefault="00083A16" w:rsidP="00083A16">
            <w:pPr>
              <w:pStyle w:val="Beschriftung"/>
              <w:spacing w:after="0"/>
              <w:contextualSpacing/>
              <w:jc w:val="center"/>
              <w:rPr>
                <w:sz w:val="20"/>
              </w:rPr>
            </w:pPr>
            <w:r w:rsidRPr="00AE7D75">
              <w:rPr>
                <w:sz w:val="20"/>
              </w:rPr>
              <w:t>P: 260-280-284-303+361+353-304+312-305+351+338-308+311-404-405</w:t>
            </w:r>
          </w:p>
        </w:tc>
      </w:tr>
      <w:tr w:rsidR="00083A16" w:rsidRPr="00AE7D75" w:rsidTr="00083A16">
        <w:trPr>
          <w:trHeight w:val="434"/>
        </w:trPr>
        <w:tc>
          <w:tcPr>
            <w:tcW w:w="3027" w:type="dxa"/>
            <w:gridSpan w:val="3"/>
            <w:tcBorders>
              <w:top w:val="single" w:sz="4" w:space="0" w:color="5B9BD5" w:themeColor="accent1"/>
            </w:tcBorders>
            <w:shd w:val="clear" w:color="auto" w:fill="auto"/>
            <w:vAlign w:val="center"/>
          </w:tcPr>
          <w:p w:rsidR="00083A16" w:rsidRPr="00AE7D75" w:rsidRDefault="00083A16" w:rsidP="00083A16">
            <w:pPr>
              <w:spacing w:after="0" w:line="276" w:lineRule="auto"/>
              <w:contextualSpacing/>
              <w:jc w:val="center"/>
              <w:rPr>
                <w:color w:val="auto"/>
                <w:sz w:val="20"/>
                <w:szCs w:val="20"/>
              </w:rPr>
            </w:pPr>
            <w:r w:rsidRPr="00AE7D75">
              <w:rPr>
                <w:color w:val="auto"/>
                <w:sz w:val="20"/>
                <w:szCs w:val="20"/>
              </w:rPr>
              <w:t>Kaliumnitrid</w:t>
            </w:r>
          </w:p>
        </w:tc>
        <w:tc>
          <w:tcPr>
            <w:tcW w:w="3177" w:type="dxa"/>
            <w:gridSpan w:val="3"/>
            <w:tcBorders>
              <w:top w:val="single" w:sz="4" w:space="0" w:color="5B9BD5" w:themeColor="accent1"/>
            </w:tcBorders>
            <w:shd w:val="clear" w:color="auto" w:fill="auto"/>
            <w:vAlign w:val="center"/>
          </w:tcPr>
          <w:p w:rsidR="00083A16" w:rsidRPr="00AE7D75" w:rsidRDefault="00083A16" w:rsidP="00083A16">
            <w:pPr>
              <w:pStyle w:val="Beschriftung"/>
              <w:spacing w:after="0"/>
              <w:contextualSpacing/>
              <w:jc w:val="center"/>
              <w:rPr>
                <w:sz w:val="20"/>
              </w:rPr>
            </w:pPr>
            <w:r w:rsidRPr="00AE7D75">
              <w:rPr>
                <w:sz w:val="20"/>
              </w:rPr>
              <w:t>H: 272-301-400</w:t>
            </w:r>
          </w:p>
        </w:tc>
        <w:tc>
          <w:tcPr>
            <w:tcW w:w="3118" w:type="dxa"/>
            <w:gridSpan w:val="3"/>
            <w:tcBorders>
              <w:top w:val="single" w:sz="4" w:space="0" w:color="5B9BD5" w:themeColor="accent1"/>
            </w:tcBorders>
            <w:shd w:val="clear" w:color="auto" w:fill="auto"/>
            <w:vAlign w:val="center"/>
          </w:tcPr>
          <w:p w:rsidR="00083A16" w:rsidRPr="00AE7D75" w:rsidRDefault="00083A16" w:rsidP="00083A16">
            <w:pPr>
              <w:pStyle w:val="Beschriftung"/>
              <w:spacing w:after="0"/>
              <w:contextualSpacing/>
              <w:jc w:val="center"/>
              <w:rPr>
                <w:sz w:val="20"/>
              </w:rPr>
            </w:pPr>
            <w:r w:rsidRPr="00AE7D75">
              <w:rPr>
                <w:sz w:val="20"/>
              </w:rPr>
              <w:t>P: 220-273-301+310</w:t>
            </w:r>
          </w:p>
        </w:tc>
      </w:tr>
      <w:tr w:rsidR="00083A16" w:rsidRPr="00AE7D75" w:rsidTr="00083A16">
        <w:tc>
          <w:tcPr>
            <w:tcW w:w="1009" w:type="dxa"/>
            <w:tcBorders>
              <w:top w:val="single" w:sz="8" w:space="0" w:color="4F81BD"/>
              <w:left w:val="single" w:sz="8" w:space="0" w:color="4F81BD"/>
              <w:bottom w:val="single" w:sz="8" w:space="0" w:color="4F81BD"/>
            </w:tcBorders>
            <w:shd w:val="clear" w:color="auto" w:fill="auto"/>
            <w:vAlign w:val="center"/>
          </w:tcPr>
          <w:p w:rsidR="00083A16" w:rsidRPr="00AE7D75" w:rsidRDefault="00083A16" w:rsidP="00083A16">
            <w:pPr>
              <w:spacing w:after="0"/>
              <w:contextualSpacing/>
              <w:jc w:val="center"/>
              <w:rPr>
                <w:b/>
                <w:bCs/>
              </w:rPr>
            </w:pPr>
            <w:r w:rsidRPr="00AE7D75">
              <w:rPr>
                <w:b/>
                <w:noProof/>
                <w:lang w:eastAsia="de-DE"/>
              </w:rPr>
              <w:drawing>
                <wp:inline distT="0" distB="0" distL="0" distR="0" wp14:anchorId="1D62ED6C" wp14:editId="773B03E0">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3A16" w:rsidRPr="00AE7D75" w:rsidRDefault="00083A16" w:rsidP="00083A16">
            <w:pPr>
              <w:spacing w:after="0"/>
              <w:contextualSpacing/>
              <w:jc w:val="center"/>
            </w:pPr>
            <w:r w:rsidRPr="00AE7D75">
              <w:rPr>
                <w:noProof/>
                <w:lang w:eastAsia="de-DE"/>
              </w:rPr>
              <w:drawing>
                <wp:inline distT="0" distB="0" distL="0" distR="0" wp14:anchorId="2E1098B2" wp14:editId="4DBEA2EE">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3A16" w:rsidRPr="00AE7D75" w:rsidRDefault="00083A16" w:rsidP="00083A16">
            <w:pPr>
              <w:spacing w:after="0"/>
              <w:contextualSpacing/>
              <w:jc w:val="center"/>
            </w:pPr>
            <w:r w:rsidRPr="00AE7D75">
              <w:rPr>
                <w:noProof/>
                <w:lang w:eastAsia="de-DE"/>
              </w:rPr>
              <w:drawing>
                <wp:inline distT="0" distB="0" distL="0" distR="0" wp14:anchorId="257D5C21" wp14:editId="55442565">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3A16" w:rsidRPr="00AE7D75" w:rsidRDefault="00083A16" w:rsidP="00083A16">
            <w:pPr>
              <w:spacing w:after="0"/>
              <w:contextualSpacing/>
              <w:jc w:val="center"/>
            </w:pPr>
            <w:r w:rsidRPr="00AE7D75">
              <w:rPr>
                <w:noProof/>
                <w:lang w:eastAsia="de-DE"/>
              </w:rPr>
              <w:drawing>
                <wp:inline distT="0" distB="0" distL="0" distR="0" wp14:anchorId="325B7181" wp14:editId="791E2538">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83A16" w:rsidRPr="00AE7D75" w:rsidRDefault="00083A16" w:rsidP="00083A16">
            <w:pPr>
              <w:spacing w:after="0"/>
              <w:contextualSpacing/>
              <w:jc w:val="center"/>
            </w:pPr>
            <w:r w:rsidRPr="00AE7D75">
              <w:rPr>
                <w:noProof/>
                <w:lang w:eastAsia="de-DE"/>
              </w:rPr>
              <w:drawing>
                <wp:inline distT="0" distB="0" distL="0" distR="0" wp14:anchorId="1486E0DD" wp14:editId="156D3A28">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83A16" w:rsidRPr="00AE7D75" w:rsidRDefault="00083A16" w:rsidP="00083A16">
            <w:pPr>
              <w:spacing w:after="0"/>
              <w:contextualSpacing/>
              <w:jc w:val="center"/>
            </w:pPr>
            <w:r w:rsidRPr="00AE7D75">
              <w:rPr>
                <w:noProof/>
                <w:lang w:eastAsia="de-DE"/>
              </w:rPr>
              <w:drawing>
                <wp:inline distT="0" distB="0" distL="0" distR="0" wp14:anchorId="1A5CC908" wp14:editId="7498E9BB">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83A16" w:rsidRPr="00AE7D75" w:rsidRDefault="00083A16" w:rsidP="00083A16">
            <w:pPr>
              <w:spacing w:after="0"/>
              <w:contextualSpacing/>
              <w:jc w:val="center"/>
            </w:pPr>
            <w:r w:rsidRPr="00AE7D75">
              <w:rPr>
                <w:noProof/>
                <w:lang w:eastAsia="de-DE"/>
              </w:rPr>
              <w:drawing>
                <wp:inline distT="0" distB="0" distL="0" distR="0" wp14:anchorId="294BA31F" wp14:editId="55BD9D39">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3A16" w:rsidRPr="00AE7D75" w:rsidRDefault="00083A16" w:rsidP="00083A16">
            <w:pPr>
              <w:spacing w:after="0"/>
              <w:contextualSpacing/>
              <w:jc w:val="center"/>
            </w:pPr>
            <w:r w:rsidRPr="00AE7D75">
              <w:rPr>
                <w:noProof/>
                <w:lang w:eastAsia="de-DE"/>
              </w:rPr>
              <w:drawing>
                <wp:inline distT="0" distB="0" distL="0" distR="0" wp14:anchorId="6645800D" wp14:editId="134E6597">
                  <wp:extent cx="511175" cy="511175"/>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83A16" w:rsidRPr="00AE7D75" w:rsidRDefault="00083A16" w:rsidP="00083A16">
            <w:pPr>
              <w:spacing w:after="0"/>
              <w:contextualSpacing/>
              <w:jc w:val="center"/>
            </w:pPr>
            <w:r w:rsidRPr="00AE7D75">
              <w:rPr>
                <w:noProof/>
                <w:lang w:eastAsia="de-DE"/>
              </w:rPr>
              <w:drawing>
                <wp:inline distT="0" distB="0" distL="0" distR="0" wp14:anchorId="419C16CA" wp14:editId="1C23216C">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083A16" w:rsidRPr="00AE7D75" w:rsidRDefault="00083A16" w:rsidP="00083A16">
      <w:pPr>
        <w:pStyle w:val="berschrift2"/>
        <w:numPr>
          <w:ilvl w:val="1"/>
          <w:numId w:val="2"/>
        </w:numPr>
        <w:spacing w:before="200" w:after="200"/>
        <w:contextualSpacing/>
      </w:pPr>
      <w:r w:rsidRPr="00AE7D75">
        <w:t>V2 Darstellung von Sauerstoff aus Salpeter</w:t>
      </w:r>
      <w:bookmarkEnd w:id="0"/>
      <w:bookmarkEnd w:id="1"/>
    </w:p>
    <w:p w:rsidR="00083A16" w:rsidRPr="00AE7D75" w:rsidRDefault="00083A16" w:rsidP="00083A16">
      <w:pPr>
        <w:tabs>
          <w:tab w:val="left" w:pos="1701"/>
          <w:tab w:val="left" w:pos="1985"/>
        </w:tabs>
        <w:ind w:left="1980" w:hanging="1980"/>
        <w:contextualSpacing/>
      </w:pPr>
    </w:p>
    <w:p w:rsidR="00083A16" w:rsidRPr="00AE7D75" w:rsidRDefault="00083A16" w:rsidP="00083A16">
      <w:pPr>
        <w:tabs>
          <w:tab w:val="left" w:pos="1701"/>
          <w:tab w:val="left" w:pos="1985"/>
        </w:tabs>
        <w:ind w:left="1980" w:hanging="1980"/>
        <w:contextualSpacing/>
      </w:pPr>
      <w:r w:rsidRPr="00AE7D75">
        <w:t xml:space="preserve">Materialien: </w:t>
      </w:r>
      <w:r w:rsidRPr="00AE7D75">
        <w:tab/>
      </w:r>
      <w:r w:rsidRPr="00AE7D75">
        <w:tab/>
        <w:t>Stativmaterial, Reagenzgläser, Bunsenbrenner, Schlauchverbindung, durchbohrter Stopfen mit Glasrohr, pneumatische Wanne, Glimmspan</w:t>
      </w:r>
    </w:p>
    <w:p w:rsidR="00083A16" w:rsidRPr="00AE7D75" w:rsidRDefault="00083A16" w:rsidP="00083A16">
      <w:pPr>
        <w:tabs>
          <w:tab w:val="left" w:pos="1701"/>
          <w:tab w:val="left" w:pos="1985"/>
        </w:tabs>
        <w:ind w:left="1980" w:hanging="1980"/>
        <w:contextualSpacing/>
      </w:pPr>
      <w:r w:rsidRPr="00AE7D75">
        <w:t>Chemikalien:</w:t>
      </w:r>
      <w:r w:rsidRPr="00AE7D75">
        <w:tab/>
      </w:r>
      <w:r w:rsidRPr="00AE7D75">
        <w:tab/>
        <w:t>Kaliumnitrat, Wasser</w:t>
      </w:r>
    </w:p>
    <w:p w:rsidR="00083A16" w:rsidRPr="00AE7D75" w:rsidRDefault="00083A16" w:rsidP="00083A16">
      <w:pPr>
        <w:tabs>
          <w:tab w:val="left" w:pos="1701"/>
          <w:tab w:val="left" w:pos="1985"/>
        </w:tabs>
        <w:ind w:left="1980" w:hanging="1980"/>
        <w:contextualSpacing/>
      </w:pPr>
      <w:r w:rsidRPr="00AE7D75">
        <w:t xml:space="preserve">Durchführung: </w:t>
      </w:r>
      <w:r w:rsidRPr="00AE7D75">
        <w:tab/>
      </w:r>
      <w:r w:rsidRPr="00AE7D75">
        <w:tab/>
      </w:r>
      <w:r w:rsidRPr="00AE7D75">
        <w:tab/>
        <w:t>In die pneumatische Wanne wird Wasser als Sperrmedium gefüllt. Ein Reagenzglas wird etwas 2cm hoch mit Kaliumnitrat gefüllt und mit dem Stopfen verschlossen. Es wird schräg am Stativ mittels Stativklemme befestigt. Die pneumatische Wanne wird mit dem Glasrohr über eine Schlauchverbindung verbunden und mittels Schlauchklemmen gesichert. Nun wird mit dem Bunsenbrenner stark für etwa vier Minuten erhitzt. Entstehendes Gas wird in einem Reagenzglas pneumatisch aufgefangen.</w:t>
      </w:r>
    </w:p>
    <w:p w:rsidR="00083A16" w:rsidRPr="00AE7D75" w:rsidRDefault="00083A16" w:rsidP="00083A16">
      <w:pPr>
        <w:tabs>
          <w:tab w:val="left" w:pos="1701"/>
          <w:tab w:val="left" w:pos="1985"/>
        </w:tabs>
        <w:ind w:left="1980" w:hanging="1980"/>
        <w:contextualSpacing/>
      </w:pPr>
      <w:r w:rsidRPr="00AE7D75">
        <w:t>Beobachtung:</w:t>
      </w:r>
      <w:r w:rsidRPr="00AE7D75">
        <w:tab/>
      </w:r>
      <w:r w:rsidRPr="00AE7D75">
        <w:tab/>
      </w:r>
      <w:r w:rsidRPr="00AE7D75">
        <w:tab/>
        <w:t>Das Kaliumnitrat schmilzt zunächst, es entsteht eine gelbliche Flüssigkeit. Nach kurzer Zeit ist eine Gasentwicklung zu beobachten. Die durchgeführte Glimmspanprobe ist positiv.</w:t>
      </w:r>
    </w:p>
    <w:p w:rsidR="00083A16" w:rsidRPr="00AE7D75" w:rsidRDefault="00083A16" w:rsidP="00083A16">
      <w:pPr>
        <w:keepNext/>
        <w:tabs>
          <w:tab w:val="left" w:pos="1701"/>
          <w:tab w:val="left" w:pos="1985"/>
        </w:tabs>
        <w:ind w:left="1980" w:hanging="1980"/>
        <w:contextualSpacing/>
        <w:jc w:val="center"/>
      </w:pPr>
      <w:r w:rsidRPr="00AE7D75">
        <w:rPr>
          <w:noProof/>
          <w:lang w:eastAsia="de-DE"/>
        </w:rPr>
        <w:drawing>
          <wp:inline distT="0" distB="0" distL="0" distR="0" wp14:anchorId="66811DAA" wp14:editId="025BE84A">
            <wp:extent cx="2442950" cy="1661207"/>
            <wp:effectExtent l="0" t="0" r="0" b="0"/>
            <wp:docPr id="4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454675" cy="1669180"/>
                    </a:xfrm>
                    <a:prstGeom prst="rect">
                      <a:avLst/>
                    </a:prstGeom>
                    <a:noFill/>
                    <a:ln w="9525">
                      <a:noFill/>
                      <a:miter lim="800000"/>
                      <a:headEnd/>
                      <a:tailEnd/>
                    </a:ln>
                  </pic:spPr>
                </pic:pic>
              </a:graphicData>
            </a:graphic>
          </wp:inline>
        </w:drawing>
      </w:r>
    </w:p>
    <w:p w:rsidR="00083A16" w:rsidRPr="00AE7D75" w:rsidRDefault="00083A16" w:rsidP="00083A16">
      <w:pPr>
        <w:pStyle w:val="Beschriftung"/>
        <w:contextualSpacing/>
        <w:jc w:val="center"/>
      </w:pPr>
      <w:r w:rsidRPr="00AE7D75">
        <w:t xml:space="preserve">Abb. </w:t>
      </w:r>
      <w:r w:rsidRPr="00AE7D75">
        <w:fldChar w:fldCharType="begin"/>
      </w:r>
      <w:r w:rsidRPr="00AE7D75">
        <w:instrText xml:space="preserve"> SEQ Abb. \* ARABIC </w:instrText>
      </w:r>
      <w:r w:rsidRPr="00AE7D75">
        <w:fldChar w:fldCharType="separate"/>
      </w:r>
      <w:r w:rsidRPr="00AE7D75">
        <w:rPr>
          <w:noProof/>
        </w:rPr>
        <w:t>4</w:t>
      </w:r>
      <w:r w:rsidRPr="00AE7D75">
        <w:rPr>
          <w:noProof/>
        </w:rPr>
        <w:fldChar w:fldCharType="end"/>
      </w:r>
      <w:r w:rsidRPr="00AE7D75">
        <w:t xml:space="preserve"> - </w:t>
      </w:r>
      <w:r w:rsidRPr="00AE7D75">
        <w:rPr>
          <w:noProof/>
        </w:rPr>
        <w:t xml:space="preserve"> Aussagekräftige Skizze oder Foto.</w:t>
      </w:r>
    </w:p>
    <w:p w:rsidR="00083A16" w:rsidRPr="00AE7D75" w:rsidRDefault="00083A16" w:rsidP="00083A16">
      <w:pPr>
        <w:tabs>
          <w:tab w:val="left" w:pos="1701"/>
          <w:tab w:val="left" w:pos="1985"/>
        </w:tabs>
        <w:ind w:left="2124" w:hanging="2124"/>
        <w:contextualSpacing/>
      </w:pPr>
      <w:r w:rsidRPr="00AE7D75">
        <w:t>Deutung:</w:t>
      </w:r>
      <w:r w:rsidRPr="00AE7D75">
        <w:tab/>
      </w:r>
      <w:r w:rsidRPr="00AE7D75">
        <w:tab/>
        <w:t>Das Kaliumnitrat setzt bei Wärmezufuhr Sauerstoff frei:</w:t>
      </w:r>
    </w:p>
    <w:p w:rsidR="00083A16" w:rsidRPr="00AE7D75" w:rsidRDefault="00083A16" w:rsidP="00083A16">
      <w:pPr>
        <w:tabs>
          <w:tab w:val="left" w:pos="1701"/>
          <w:tab w:val="left" w:pos="1985"/>
        </w:tabs>
        <w:ind w:left="1985" w:hanging="2124"/>
        <w:contextualSpacing/>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2 KNO</m:t>
              </m:r>
            </m:e>
            <m:sub>
              <m:r>
                <m:rPr>
                  <m:sty m:val="p"/>
                </m:rPr>
                <w:rPr>
                  <w:rFonts w:ascii="Cambria Math" w:eastAsiaTheme="minorEastAsia" w:hAnsi="Cambria Math"/>
                </w:rPr>
                <m:t>3(l)</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2 KNO</m:t>
              </m:r>
            </m:e>
            <m:sub>
              <m:r>
                <m:rPr>
                  <m:sty m:val="p"/>
                </m:rPr>
                <w:rPr>
                  <w:rFonts w:ascii="Cambria Math" w:eastAsiaTheme="minorEastAsia" w:hAnsi="Cambria Math"/>
                </w:rPr>
                <m:t>2(l)</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2(g)</m:t>
              </m:r>
            </m:sub>
          </m:sSub>
        </m:oMath>
      </m:oMathPara>
    </w:p>
    <w:p w:rsidR="00083A16" w:rsidRPr="00AE7D75" w:rsidRDefault="00083A16" w:rsidP="00083A16">
      <w:pPr>
        <w:spacing w:line="276" w:lineRule="auto"/>
        <w:ind w:left="1985" w:hanging="1985"/>
        <w:contextualSpacing/>
        <w:jc w:val="left"/>
      </w:pPr>
      <w:r w:rsidRPr="00AE7D75">
        <w:t>Entsorgung:</w:t>
      </w:r>
      <w:r w:rsidRPr="00AE7D75">
        <w:tab/>
        <w:t xml:space="preserve">Die Entsorgung des Filterpapiers erfolgt im Feststoffabfall. </w:t>
      </w:r>
    </w:p>
    <w:p w:rsidR="00D73F5D" w:rsidRPr="00083A16" w:rsidRDefault="00083A16" w:rsidP="00083A16">
      <w:pPr>
        <w:spacing w:line="276" w:lineRule="auto"/>
        <w:ind w:left="1985" w:hanging="1985"/>
        <w:contextualSpacing/>
        <w:jc w:val="left"/>
      </w:pPr>
      <w:r w:rsidRPr="00AE7D75">
        <w:t>Literatur:</w:t>
      </w:r>
      <w:r w:rsidRPr="00AE7D75">
        <w:tab/>
        <w:t>[1] H. Schmidkunz, Chemische Freihandversuche, Band 1, 2011, S.204</w:t>
      </w:r>
      <w:bookmarkStart w:id="2" w:name="_GoBack"/>
      <w:bookmarkEnd w:id="2"/>
    </w:p>
    <w:sectPr w:rsidR="00D73F5D" w:rsidRPr="00083A16">
      <w:footerReference w:type="default" r:id="rId20"/>
      <w:footerReference w:type="first" r:id="rId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083A16">
        <w:pPr>
          <w:pStyle w:val="Fuzeile"/>
          <w:jc w:val="center"/>
        </w:pPr>
        <w:r>
          <w:fldChar w:fldCharType="begin"/>
        </w:r>
        <w:r>
          <w:instrText>PAGE   \* MERGEFORMAT</w:instrText>
        </w:r>
        <w:r>
          <w:fldChar w:fldCharType="separate"/>
        </w:r>
        <w:r>
          <w:rPr>
            <w:noProof/>
          </w:rPr>
          <w:t>1</w:t>
        </w:r>
        <w:r>
          <w:fldChar w:fldCharType="end"/>
        </w:r>
      </w:p>
    </w:sdtContent>
  </w:sdt>
  <w:p w:rsidR="0099183C" w:rsidRDefault="00083A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083A16">
    <w:pPr>
      <w:pStyle w:val="Fuzeile"/>
      <w:jc w:val="center"/>
    </w:pPr>
  </w:p>
  <w:p w:rsidR="0099183C" w:rsidRDefault="00083A16">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083A16"/>
    <w:rsid w:val="001C7E4D"/>
    <w:rsid w:val="00240CE2"/>
    <w:rsid w:val="003143CC"/>
    <w:rsid w:val="003D42D3"/>
    <w:rsid w:val="005D72E7"/>
    <w:rsid w:val="00611594"/>
    <w:rsid w:val="007D4813"/>
    <w:rsid w:val="008F5648"/>
    <w:rsid w:val="00980F3F"/>
    <w:rsid w:val="00A3064F"/>
    <w:rsid w:val="00C20C1B"/>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de.wikipedia.org/wiki/H-_und_P-S%C3%A4tze"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2.png"/><Relationship Id="rId5" Type="http://schemas.openxmlformats.org/officeDocument/2006/relationships/hyperlink" Target="http://de.wikipedia.org/wiki/H-_und_P-S%C3%A4tze" TargetMode="Externa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2016-08-09T06:48:00Z</dcterms:created>
  <dcterms:modified xsi:type="dcterms:W3CDTF">2016-08-09T06:48:00Z</dcterms:modified>
</cp:coreProperties>
</file>