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3E6" w:rsidRPr="00984EF9" w:rsidRDefault="00C563E6" w:rsidP="00C563E6">
      <w:pPr>
        <w:pStyle w:val="berschrift2"/>
      </w:pPr>
      <w:bookmarkStart w:id="0" w:name="_Toc457763279"/>
      <w:r>
        <w:t>V3 – Abhängigkeit von Gasvolumen zur Brenndauer</w:t>
      </w:r>
      <w:bookmarkEnd w:id="0"/>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563E6" w:rsidRPr="009C5E28" w:rsidTr="000B072C">
        <w:tc>
          <w:tcPr>
            <w:tcW w:w="9322" w:type="dxa"/>
            <w:gridSpan w:val="9"/>
            <w:shd w:val="clear" w:color="auto" w:fill="4F81BD"/>
            <w:vAlign w:val="center"/>
          </w:tcPr>
          <w:p w:rsidR="00C563E6" w:rsidRPr="00F31EBF" w:rsidRDefault="00C563E6" w:rsidP="000B072C">
            <w:pPr>
              <w:spacing w:after="0"/>
              <w:rPr>
                <w:b/>
                <w:bCs/>
                <w:color w:val="FFFFFF" w:themeColor="background1"/>
              </w:rPr>
            </w:pPr>
            <w:r w:rsidRPr="00F31EBF">
              <w:rPr>
                <w:b/>
                <w:bCs/>
                <w:color w:val="FFFFFF" w:themeColor="background1"/>
              </w:rPr>
              <w:t>Gefahrenstoffe</w:t>
            </w:r>
          </w:p>
        </w:tc>
      </w:tr>
      <w:tr w:rsidR="00C563E6" w:rsidRPr="009C5E28" w:rsidTr="000B072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563E6" w:rsidRPr="009C5E28" w:rsidRDefault="00C563E6" w:rsidP="000B072C">
            <w:pPr>
              <w:spacing w:after="0"/>
              <w:rPr>
                <w:b/>
                <w:bCs/>
              </w:rPr>
            </w:pPr>
            <w:r>
              <w:rPr>
                <w:sz w:val="20"/>
              </w:rPr>
              <w:t>Teelichter</w:t>
            </w:r>
          </w:p>
        </w:tc>
        <w:tc>
          <w:tcPr>
            <w:tcW w:w="3177" w:type="dxa"/>
            <w:gridSpan w:val="3"/>
            <w:tcBorders>
              <w:top w:val="single" w:sz="8" w:space="0" w:color="4F81BD"/>
              <w:bottom w:val="single" w:sz="8" w:space="0" w:color="4F81BD"/>
            </w:tcBorders>
            <w:shd w:val="clear" w:color="auto" w:fill="auto"/>
            <w:vAlign w:val="center"/>
          </w:tcPr>
          <w:p w:rsidR="00C563E6" w:rsidRPr="009C5E28" w:rsidRDefault="00C563E6" w:rsidP="000B072C">
            <w:pPr>
              <w:spacing w:after="0"/>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563E6" w:rsidRPr="009C5E28" w:rsidRDefault="00C563E6" w:rsidP="000B072C">
            <w:pPr>
              <w:spacing w:after="0"/>
            </w:pPr>
            <w:r w:rsidRPr="009C5E28">
              <w:rPr>
                <w:sz w:val="20"/>
              </w:rPr>
              <w:t xml:space="preserve">P: </w:t>
            </w:r>
            <w:r>
              <w:t>-</w:t>
            </w:r>
          </w:p>
        </w:tc>
      </w:tr>
      <w:tr w:rsidR="00C563E6" w:rsidRPr="009C5E28" w:rsidTr="000B072C">
        <w:trPr>
          <w:trHeight w:val="434"/>
        </w:trPr>
        <w:tc>
          <w:tcPr>
            <w:tcW w:w="3027" w:type="dxa"/>
            <w:gridSpan w:val="3"/>
            <w:shd w:val="clear" w:color="auto" w:fill="auto"/>
            <w:vAlign w:val="center"/>
          </w:tcPr>
          <w:p w:rsidR="00C563E6" w:rsidRPr="009C5E28" w:rsidRDefault="00C563E6" w:rsidP="000B072C">
            <w:pPr>
              <w:spacing w:after="0"/>
              <w:rPr>
                <w:bCs/>
                <w:sz w:val="20"/>
              </w:rPr>
            </w:pPr>
            <w:r>
              <w:rPr>
                <w:color w:val="auto"/>
                <w:sz w:val="20"/>
                <w:szCs w:val="20"/>
              </w:rPr>
              <w:t>Luft</w:t>
            </w:r>
          </w:p>
        </w:tc>
        <w:tc>
          <w:tcPr>
            <w:tcW w:w="3177" w:type="dxa"/>
            <w:gridSpan w:val="3"/>
            <w:shd w:val="clear" w:color="auto" w:fill="auto"/>
            <w:vAlign w:val="center"/>
          </w:tcPr>
          <w:p w:rsidR="00C563E6" w:rsidRPr="009C5E28" w:rsidRDefault="00C563E6" w:rsidP="000B072C">
            <w:pPr>
              <w:pStyle w:val="Beschriftung"/>
              <w:spacing w:after="0" w:line="360" w:lineRule="auto"/>
              <w:rPr>
                <w:sz w:val="20"/>
              </w:rPr>
            </w:pPr>
            <w:r w:rsidRPr="009C5E28">
              <w:rPr>
                <w:sz w:val="20"/>
              </w:rPr>
              <w:t xml:space="preserve">H: </w:t>
            </w:r>
            <w:r>
              <w:t>-</w:t>
            </w:r>
          </w:p>
        </w:tc>
        <w:tc>
          <w:tcPr>
            <w:tcW w:w="3118" w:type="dxa"/>
            <w:gridSpan w:val="3"/>
            <w:shd w:val="clear" w:color="auto" w:fill="auto"/>
            <w:vAlign w:val="center"/>
          </w:tcPr>
          <w:p w:rsidR="00C563E6" w:rsidRPr="009C5E28" w:rsidRDefault="00C563E6" w:rsidP="000B072C">
            <w:pPr>
              <w:pStyle w:val="Beschriftung"/>
              <w:spacing w:after="0" w:line="360" w:lineRule="auto"/>
              <w:rPr>
                <w:sz w:val="20"/>
              </w:rPr>
            </w:pPr>
            <w:r w:rsidRPr="009C5E28">
              <w:rPr>
                <w:sz w:val="20"/>
              </w:rPr>
              <w:t xml:space="preserve">P: </w:t>
            </w:r>
            <w:r>
              <w:t>-</w:t>
            </w:r>
          </w:p>
        </w:tc>
      </w:tr>
      <w:tr w:rsidR="00C563E6" w:rsidRPr="009C5E28" w:rsidTr="000B072C">
        <w:tc>
          <w:tcPr>
            <w:tcW w:w="1009" w:type="dxa"/>
            <w:tcBorders>
              <w:top w:val="single" w:sz="8" w:space="0" w:color="4F81BD"/>
              <w:left w:val="single" w:sz="8" w:space="0" w:color="4F81BD"/>
              <w:bottom w:val="single" w:sz="8" w:space="0" w:color="4F81BD"/>
            </w:tcBorders>
            <w:shd w:val="clear" w:color="auto" w:fill="auto"/>
            <w:vAlign w:val="center"/>
          </w:tcPr>
          <w:p w:rsidR="00C563E6" w:rsidRPr="009C5E28" w:rsidRDefault="00C563E6" w:rsidP="000B072C">
            <w:pPr>
              <w:spacing w:after="0"/>
              <w:rPr>
                <w:b/>
                <w:bCs/>
              </w:rPr>
            </w:pPr>
            <w:r>
              <w:rPr>
                <w:b/>
                <w:noProof/>
                <w:lang w:eastAsia="de-DE"/>
              </w:rPr>
              <w:drawing>
                <wp:inline distT="0" distB="0" distL="0" distR="0" wp14:anchorId="22242C5F" wp14:editId="60C70623">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563E6" w:rsidRPr="009C5E28" w:rsidRDefault="00C563E6" w:rsidP="000B072C">
            <w:pPr>
              <w:spacing w:after="0"/>
            </w:pPr>
            <w:r>
              <w:rPr>
                <w:noProof/>
                <w:lang w:eastAsia="de-DE"/>
              </w:rPr>
              <w:drawing>
                <wp:inline distT="0" distB="0" distL="0" distR="0" wp14:anchorId="4E434D72" wp14:editId="06FEFB5D">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563E6" w:rsidRPr="009C5E28" w:rsidRDefault="00C563E6" w:rsidP="000B072C">
            <w:pPr>
              <w:spacing w:after="0"/>
            </w:pPr>
            <w:r>
              <w:rPr>
                <w:noProof/>
                <w:lang w:eastAsia="de-DE"/>
              </w:rPr>
              <w:drawing>
                <wp:inline distT="0" distB="0" distL="0" distR="0" wp14:anchorId="7EFDD64E" wp14:editId="6B135F07">
                  <wp:extent cx="504190" cy="50419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563E6" w:rsidRPr="009C5E28" w:rsidRDefault="00C563E6" w:rsidP="000B072C">
            <w:pPr>
              <w:spacing w:after="0"/>
            </w:pPr>
            <w:r>
              <w:rPr>
                <w:noProof/>
                <w:lang w:eastAsia="de-DE"/>
              </w:rPr>
              <w:drawing>
                <wp:inline distT="0" distB="0" distL="0" distR="0" wp14:anchorId="61317093" wp14:editId="40B899EF">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563E6" w:rsidRPr="009C5E28" w:rsidRDefault="00C563E6" w:rsidP="000B072C">
            <w:pPr>
              <w:spacing w:after="0"/>
            </w:pPr>
            <w:r>
              <w:rPr>
                <w:noProof/>
                <w:lang w:eastAsia="de-DE"/>
              </w:rPr>
              <w:drawing>
                <wp:inline distT="0" distB="0" distL="0" distR="0" wp14:anchorId="04F63A33" wp14:editId="752357DE">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563E6" w:rsidRPr="009C5E28" w:rsidRDefault="00C563E6" w:rsidP="000B072C">
            <w:pPr>
              <w:spacing w:after="0"/>
            </w:pPr>
            <w:r>
              <w:rPr>
                <w:noProof/>
                <w:lang w:eastAsia="de-DE"/>
              </w:rPr>
              <w:drawing>
                <wp:inline distT="0" distB="0" distL="0" distR="0" wp14:anchorId="67EED954" wp14:editId="51146B1E">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563E6" w:rsidRPr="009C5E28" w:rsidRDefault="00C563E6" w:rsidP="000B072C">
            <w:pPr>
              <w:spacing w:after="0"/>
            </w:pPr>
            <w:r>
              <w:rPr>
                <w:noProof/>
                <w:lang w:eastAsia="de-DE"/>
              </w:rPr>
              <w:drawing>
                <wp:inline distT="0" distB="0" distL="0" distR="0" wp14:anchorId="175E448E" wp14:editId="1678A938">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563E6" w:rsidRPr="009C5E28" w:rsidRDefault="00C563E6" w:rsidP="000B072C">
            <w:pPr>
              <w:spacing w:after="0"/>
            </w:pPr>
            <w:r>
              <w:rPr>
                <w:noProof/>
                <w:lang w:eastAsia="de-DE"/>
              </w:rPr>
              <w:drawing>
                <wp:inline distT="0" distB="0" distL="0" distR="0" wp14:anchorId="2E009493" wp14:editId="67508CF6">
                  <wp:extent cx="511175" cy="511175"/>
                  <wp:effectExtent l="0" t="0" r="3175" b="3175"/>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563E6" w:rsidRPr="009C5E28" w:rsidRDefault="00C563E6" w:rsidP="000B072C">
            <w:pPr>
              <w:spacing w:after="0"/>
            </w:pPr>
            <w:r>
              <w:rPr>
                <w:noProof/>
                <w:lang w:eastAsia="de-DE"/>
              </w:rPr>
              <w:drawing>
                <wp:inline distT="0" distB="0" distL="0" distR="0" wp14:anchorId="183CB71A" wp14:editId="6C490BFA">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C563E6" w:rsidRDefault="00C563E6" w:rsidP="00C563E6">
      <w:pPr>
        <w:tabs>
          <w:tab w:val="left" w:pos="1701"/>
          <w:tab w:val="left" w:pos="1985"/>
        </w:tabs>
        <w:ind w:left="1980" w:hanging="1980"/>
      </w:pPr>
    </w:p>
    <w:p w:rsidR="00C563E6" w:rsidRDefault="00C563E6" w:rsidP="00C563E6">
      <w:pPr>
        <w:tabs>
          <w:tab w:val="left" w:pos="1701"/>
          <w:tab w:val="left" w:pos="1985"/>
        </w:tabs>
        <w:ind w:left="1980" w:hanging="1980"/>
      </w:pPr>
      <w:r>
        <w:t xml:space="preserve">Materialien: </w:t>
      </w:r>
      <w:r>
        <w:tab/>
      </w:r>
      <w:r>
        <w:tab/>
        <w:t>3 Bechergläser mit verschiedenen Volumina, 3 Teelichter, Stoppuhr</w:t>
      </w:r>
    </w:p>
    <w:p w:rsidR="00C563E6" w:rsidRPr="00ED07C2" w:rsidRDefault="00C563E6" w:rsidP="00C563E6">
      <w:pPr>
        <w:tabs>
          <w:tab w:val="left" w:pos="1701"/>
          <w:tab w:val="left" w:pos="1985"/>
        </w:tabs>
        <w:ind w:left="1980" w:hanging="1980"/>
      </w:pPr>
      <w:r>
        <w:t>Chemikalien:</w:t>
      </w:r>
      <w:r>
        <w:tab/>
      </w:r>
      <w:r>
        <w:tab/>
        <w:t>-</w:t>
      </w:r>
    </w:p>
    <w:p w:rsidR="00C563E6" w:rsidRDefault="00C563E6" w:rsidP="00C563E6">
      <w:pPr>
        <w:tabs>
          <w:tab w:val="left" w:pos="1701"/>
          <w:tab w:val="left" w:pos="1985"/>
        </w:tabs>
        <w:ind w:left="1980" w:hanging="1980"/>
      </w:pPr>
      <w:r>
        <w:t xml:space="preserve">Durchführung: </w:t>
      </w:r>
      <w:r>
        <w:tab/>
      </w:r>
      <w:r>
        <w:tab/>
      </w:r>
      <w:r>
        <w:tab/>
        <w:t xml:space="preserve">Die Teelichter werden entzündet und nebeneinander platziert. Die Bechergläser werden zeitgleich über die Teelichter gestülpt und die Zeit bis zum Erlöschen der Flamme gemessen. </w:t>
      </w:r>
    </w:p>
    <w:p w:rsidR="00C563E6" w:rsidRDefault="00C563E6" w:rsidP="00C563E6">
      <w:pPr>
        <w:tabs>
          <w:tab w:val="left" w:pos="1701"/>
          <w:tab w:val="left" w:pos="1985"/>
        </w:tabs>
        <w:ind w:left="1980" w:hanging="1980"/>
      </w:pPr>
      <w:r>
        <w:t>Beobachtung:</w:t>
      </w:r>
      <w:r>
        <w:tab/>
      </w:r>
      <w:r>
        <w:tab/>
      </w:r>
      <w:r>
        <w:tab/>
        <w:t>Die Flamme im kleinsten Becherglas erlischt am schnellsten, die weiteren Teelichtflammen erlöschen mit ansteigendem Gasvolumen jeweils später.</w:t>
      </w:r>
    </w:p>
    <w:p w:rsidR="00C563E6" w:rsidRDefault="00C563E6" w:rsidP="00C563E6">
      <w:pPr>
        <w:keepNext/>
        <w:tabs>
          <w:tab w:val="left" w:pos="1701"/>
          <w:tab w:val="left" w:pos="1985"/>
        </w:tabs>
        <w:ind w:left="1980" w:hanging="1980"/>
        <w:jc w:val="center"/>
      </w:pPr>
      <w:r>
        <w:rPr>
          <w:noProof/>
          <w:lang w:eastAsia="de-DE"/>
        </w:rPr>
        <w:drawing>
          <wp:inline distT="0" distB="0" distL="0" distR="0" wp14:anchorId="495D641D" wp14:editId="1ED694C3">
            <wp:extent cx="4951907" cy="1841711"/>
            <wp:effectExtent l="0" t="0" r="1270" b="6350"/>
            <wp:docPr id="28"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960926" cy="1845065"/>
                    </a:xfrm>
                    <a:prstGeom prst="rect">
                      <a:avLst/>
                    </a:prstGeom>
                    <a:noFill/>
                    <a:ln w="9525">
                      <a:noFill/>
                      <a:miter lim="800000"/>
                      <a:headEnd/>
                      <a:tailEnd/>
                    </a:ln>
                  </pic:spPr>
                </pic:pic>
              </a:graphicData>
            </a:graphic>
          </wp:inline>
        </w:drawing>
      </w:r>
    </w:p>
    <w:p w:rsidR="00C563E6" w:rsidRDefault="00C563E6" w:rsidP="00C563E6">
      <w:pPr>
        <w:pStyle w:val="Beschriftung"/>
        <w:spacing w:line="360" w:lineRule="auto"/>
        <w:jc w:val="center"/>
      </w:pPr>
      <w:r>
        <w:t xml:space="preserve">Abb. </w:t>
      </w:r>
      <w:r>
        <w:fldChar w:fldCharType="begin"/>
      </w:r>
      <w:r>
        <w:instrText xml:space="preserve"> SEQ Abb. \* ARABIC </w:instrText>
      </w:r>
      <w:r>
        <w:fldChar w:fldCharType="separate"/>
      </w:r>
      <w:r>
        <w:rPr>
          <w:noProof/>
        </w:rPr>
        <w:t>2</w:t>
      </w:r>
      <w:r>
        <w:rPr>
          <w:noProof/>
        </w:rPr>
        <w:fldChar w:fldCharType="end"/>
      </w:r>
      <w:r>
        <w:t xml:space="preserve"> –</w:t>
      </w:r>
      <w:r>
        <w:rPr>
          <w:noProof/>
        </w:rPr>
        <w:t xml:space="preserve"> Versuchsaufbau zur Bestimmung der Abhängigkeit von Gasvolumen zu Brenndauer.</w:t>
      </w:r>
    </w:p>
    <w:p w:rsidR="00C563E6" w:rsidRDefault="00C563E6" w:rsidP="00C563E6">
      <w:pPr>
        <w:tabs>
          <w:tab w:val="left" w:pos="1701"/>
          <w:tab w:val="left" w:pos="1985"/>
        </w:tabs>
        <w:ind w:left="1985" w:hanging="1985"/>
        <w:rPr>
          <w:rFonts w:eastAsiaTheme="minorEastAsia"/>
        </w:rPr>
      </w:pPr>
      <w:r>
        <w:t>Deutung:</w:t>
      </w:r>
      <w:r>
        <w:tab/>
      </w:r>
      <w:r>
        <w:tab/>
        <w:t>Die Flamme braucht einen Bestandteil der Luft um weiter zu brennen. Sobald der brandfördernde Anteil verbraucht ist erlischt die Flamme. Es besteht dabei ein proportionaler Zusammenhang zwischen dem Gasvolumen und der Brenndauer.</w:t>
      </w:r>
    </w:p>
    <w:p w:rsidR="00C563E6" w:rsidRDefault="00C563E6" w:rsidP="00C563E6">
      <w:r>
        <w:t>Entsorgung:</w:t>
      </w:r>
      <w:r>
        <w:tab/>
        <w:t xml:space="preserve">            Die Teelichter können für weitere Versuche wiederverwertet werden.</w:t>
      </w:r>
    </w:p>
    <w:p w:rsidR="00C563E6" w:rsidRPr="004C6168" w:rsidRDefault="00C563E6" w:rsidP="00C563E6">
      <w:r>
        <w:t>Literatur:</w:t>
      </w:r>
      <w:r>
        <w:tab/>
        <w:t xml:space="preserve">             [1] H. Schmidkunz, Chemische Freihandversuche, Band 1, 2011, S.195 </w:t>
      </w:r>
    </w:p>
    <w:p w:rsidR="00D73F5D" w:rsidRPr="00C563E6" w:rsidRDefault="00D73F5D" w:rsidP="00C563E6">
      <w:bookmarkStart w:id="1" w:name="_GoBack"/>
      <w:bookmarkEnd w:id="1"/>
    </w:p>
    <w:sectPr w:rsidR="00D73F5D" w:rsidRPr="00C563E6">
      <w:footerReference w:type="default" r:id="rId15"/>
      <w:footerReference w:type="first" r:id="rId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502337"/>
      <w:docPartObj>
        <w:docPartGallery w:val="Page Numbers (Bottom of Page)"/>
        <w:docPartUnique/>
      </w:docPartObj>
    </w:sdtPr>
    <w:sdtEndPr/>
    <w:sdtContent>
      <w:p w:rsidR="0099183C" w:rsidRDefault="00C563E6">
        <w:pPr>
          <w:pStyle w:val="Fuzeile"/>
          <w:jc w:val="center"/>
        </w:pPr>
        <w:r>
          <w:fldChar w:fldCharType="begin"/>
        </w:r>
        <w:r>
          <w:instrText>PAGE   \* MERGEFORMAT</w:instrText>
        </w:r>
        <w:r>
          <w:fldChar w:fldCharType="separate"/>
        </w:r>
        <w:r>
          <w:rPr>
            <w:noProof/>
          </w:rPr>
          <w:t>1</w:t>
        </w:r>
        <w:r>
          <w:fldChar w:fldCharType="end"/>
        </w:r>
      </w:p>
    </w:sdtContent>
  </w:sdt>
  <w:p w:rsidR="0099183C" w:rsidRDefault="00C563E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3C" w:rsidRDefault="00C563E6">
    <w:pPr>
      <w:pStyle w:val="Fuzeile"/>
      <w:jc w:val="center"/>
    </w:pPr>
  </w:p>
  <w:p w:rsidR="0099183C" w:rsidRDefault="00C563E6">
    <w:pPr>
      <w:pStyle w:val="Fuzeil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9517F"/>
    <w:multiLevelType w:val="hybridMultilevel"/>
    <w:tmpl w:val="835600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6D7C6E50"/>
    <w:multiLevelType w:val="hybridMultilevel"/>
    <w:tmpl w:val="CCC417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525D8E"/>
    <w:multiLevelType w:val="hybridMultilevel"/>
    <w:tmpl w:val="CCC417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D3"/>
    <w:rsid w:val="00083A16"/>
    <w:rsid w:val="001C7E4D"/>
    <w:rsid w:val="00240CE2"/>
    <w:rsid w:val="003143CC"/>
    <w:rsid w:val="003D42D3"/>
    <w:rsid w:val="005D72E7"/>
    <w:rsid w:val="00611594"/>
    <w:rsid w:val="007D4813"/>
    <w:rsid w:val="008F5648"/>
    <w:rsid w:val="00980F3F"/>
    <w:rsid w:val="00A3064F"/>
    <w:rsid w:val="00C20C1B"/>
    <w:rsid w:val="00C443B4"/>
    <w:rsid w:val="00C563E6"/>
    <w:rsid w:val="00D73F5D"/>
    <w:rsid w:val="00E468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B8C91-9413-4DBB-BC6F-BAECF9EA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4813"/>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A306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autoRedefine/>
    <w:uiPriority w:val="9"/>
    <w:unhideWhenUsed/>
    <w:qFormat/>
    <w:rsid w:val="003D42D3"/>
    <w:pPr>
      <w:keepNext/>
      <w:keepLines/>
      <w:spacing w:before="40" w:after="0"/>
      <w:outlineLvl w:val="1"/>
    </w:pPr>
    <w:rPr>
      <w:rFonts w:eastAsia="MS Gothic" w:cstheme="majorBidi"/>
      <w:b/>
      <w:sz w:val="26"/>
      <w:szCs w:val="26"/>
    </w:rPr>
  </w:style>
  <w:style w:type="paragraph" w:styleId="berschrift3">
    <w:name w:val="heading 3"/>
    <w:basedOn w:val="Standard"/>
    <w:next w:val="Standard"/>
    <w:link w:val="berschrift3Zchn"/>
    <w:uiPriority w:val="9"/>
    <w:unhideWhenUsed/>
    <w:qFormat/>
    <w:rsid w:val="00980F3F"/>
    <w:pPr>
      <w:keepNext/>
      <w:keepLines/>
      <w:spacing w:before="200" w:after="120"/>
      <w:ind w:left="720" w:hanging="7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80F3F"/>
    <w:pPr>
      <w:keepNext/>
      <w:keepLines/>
      <w:spacing w:before="200" w:after="0"/>
      <w:ind w:left="864" w:hanging="864"/>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980F3F"/>
    <w:pPr>
      <w:keepNext/>
      <w:keepLines/>
      <w:spacing w:before="200" w:after="0"/>
      <w:ind w:left="1008" w:hanging="1008"/>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980F3F"/>
    <w:pPr>
      <w:keepNext/>
      <w:keepLines/>
      <w:spacing w:before="200" w:after="0"/>
      <w:ind w:left="1152" w:hanging="1152"/>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980F3F"/>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80F3F"/>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80F3F"/>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D42D3"/>
    <w:rPr>
      <w:rFonts w:ascii="Cambria" w:eastAsia="MS Gothic" w:hAnsi="Cambria" w:cstheme="majorBidi"/>
      <w:b/>
      <w:sz w:val="26"/>
      <w:szCs w:val="26"/>
    </w:rPr>
  </w:style>
  <w:style w:type="character" w:styleId="Hyperlink">
    <w:name w:val="Hyperlink"/>
    <w:basedOn w:val="Absatz-Standardschriftart"/>
    <w:uiPriority w:val="99"/>
    <w:unhideWhenUsed/>
    <w:rsid w:val="003D42D3"/>
    <w:rPr>
      <w:color w:val="0563C1" w:themeColor="hyperlink"/>
      <w:u w:val="single"/>
    </w:rPr>
  </w:style>
  <w:style w:type="paragraph" w:styleId="Beschriftung">
    <w:name w:val="caption"/>
    <w:basedOn w:val="Standard"/>
    <w:next w:val="Standard"/>
    <w:uiPriority w:val="35"/>
    <w:unhideWhenUsed/>
    <w:qFormat/>
    <w:rsid w:val="007D4813"/>
    <w:pPr>
      <w:spacing w:line="240" w:lineRule="auto"/>
    </w:pPr>
    <w:rPr>
      <w:bCs/>
      <w:color w:val="auto"/>
      <w:sz w:val="18"/>
      <w:szCs w:val="18"/>
    </w:rPr>
  </w:style>
  <w:style w:type="paragraph" w:styleId="Fuzeile">
    <w:name w:val="footer"/>
    <w:basedOn w:val="Standard"/>
    <w:link w:val="FuzeileZchn"/>
    <w:uiPriority w:val="99"/>
    <w:unhideWhenUsed/>
    <w:rsid w:val="003143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43CC"/>
    <w:rPr>
      <w:rFonts w:ascii="Cambria" w:hAnsi="Cambria"/>
      <w:color w:val="171717" w:themeColor="background2" w:themeShade="1A"/>
    </w:rPr>
  </w:style>
  <w:style w:type="character" w:customStyle="1" w:styleId="berschrift1Zchn">
    <w:name w:val="Überschrift 1 Zchn"/>
    <w:basedOn w:val="Absatz-Standardschriftart"/>
    <w:link w:val="berschrift1"/>
    <w:uiPriority w:val="9"/>
    <w:rsid w:val="00A3064F"/>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A3064F"/>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A306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064F"/>
    <w:rPr>
      <w:rFonts w:ascii="Cambria" w:hAnsi="Cambria"/>
      <w:color w:val="171717" w:themeColor="background2" w:themeShade="1A"/>
    </w:rPr>
  </w:style>
  <w:style w:type="character" w:customStyle="1" w:styleId="mw-mmv-title">
    <w:name w:val="mw-mmv-title"/>
    <w:basedOn w:val="Absatz-Standardschriftart"/>
    <w:rsid w:val="00A3064F"/>
  </w:style>
  <w:style w:type="character" w:styleId="HTMLZitat">
    <w:name w:val="HTML Cite"/>
    <w:basedOn w:val="Absatz-Standardschriftart"/>
    <w:uiPriority w:val="99"/>
    <w:semiHidden/>
    <w:unhideWhenUsed/>
    <w:rsid w:val="008F5648"/>
    <w:rPr>
      <w:i/>
      <w:iCs/>
    </w:rPr>
  </w:style>
  <w:style w:type="character" w:customStyle="1" w:styleId="berschrift3Zchn">
    <w:name w:val="Überschrift 3 Zchn"/>
    <w:basedOn w:val="Absatz-Standardschriftart"/>
    <w:link w:val="berschrift3"/>
    <w:uiPriority w:val="9"/>
    <w:rsid w:val="00980F3F"/>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980F3F"/>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980F3F"/>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980F3F"/>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980F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80F3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80F3F"/>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oter" Target="footer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956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Ehlers</dc:creator>
  <cp:keywords/>
  <dc:description/>
  <cp:lastModifiedBy>Marc Ehlers</cp:lastModifiedBy>
  <cp:revision>2</cp:revision>
  <dcterms:created xsi:type="dcterms:W3CDTF">2016-08-09T06:48:00Z</dcterms:created>
  <dcterms:modified xsi:type="dcterms:W3CDTF">2016-08-09T06:48:00Z</dcterms:modified>
</cp:coreProperties>
</file>