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468" w:rsidRPr="00B10468" w:rsidRDefault="00B10468" w:rsidP="00B10468">
      <w:pPr>
        <w:pStyle w:val="berschrift2"/>
        <w:spacing w:after="0"/>
        <w:contextualSpacing/>
        <w:rPr>
          <w:rFonts w:ascii="Cambria" w:hAnsi="Cambria"/>
          <w:color w:val="auto"/>
        </w:rPr>
      </w:pPr>
      <w:r w:rsidRPr="00B10468">
        <w:rPr>
          <w:rFonts w:ascii="Cambria" w:hAnsi="Cambria"/>
          <w:color w:val="auto"/>
        </w:rPr>
        <w:t>Kalkwasserprobe</w:t>
      </w:r>
    </w:p>
    <w:p w:rsidR="00B10468" w:rsidRPr="00B10468" w:rsidRDefault="00B10468" w:rsidP="00B10468">
      <w:pPr>
        <w:spacing w:after="0"/>
        <w:contextualSpacing/>
        <w:rPr>
          <w:i/>
          <w:color w:val="auto"/>
        </w:rPr>
      </w:pPr>
      <w:bookmarkStart w:id="0" w:name="_GoBack"/>
      <w:r w:rsidRPr="00B10468">
        <w:rPr>
          <w:i/>
          <w:color w:val="auto"/>
        </w:rPr>
        <w:t>In diesem Versuch wird die Kalkwasserprobe vorgestellt. Für den Versuch ist kein weiteres Vorwissen nötig.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10468" w:rsidRPr="00B10468" w:rsidTr="00044FA2">
        <w:tc>
          <w:tcPr>
            <w:tcW w:w="9322" w:type="dxa"/>
            <w:gridSpan w:val="9"/>
            <w:tcBorders>
              <w:bottom w:val="single" w:sz="8" w:space="0" w:color="4F81BD"/>
            </w:tcBorders>
            <w:shd w:val="clear" w:color="auto" w:fill="4F81BD"/>
            <w:vAlign w:val="center"/>
          </w:tcPr>
          <w:bookmarkEnd w:id="0"/>
          <w:p w:rsidR="00B10468" w:rsidRPr="00B10468" w:rsidRDefault="00B10468" w:rsidP="00044FA2">
            <w:pPr>
              <w:spacing w:after="0"/>
              <w:contextualSpacing/>
              <w:rPr>
                <w:b/>
                <w:bCs/>
                <w:color w:val="FFFFFF" w:themeColor="background1"/>
              </w:rPr>
            </w:pPr>
            <w:r w:rsidRPr="00B10468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B10468" w:rsidRPr="00B10468" w:rsidTr="00044FA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spacing w:after="0" w:line="276" w:lineRule="auto"/>
              <w:contextualSpacing/>
              <w:rPr>
                <w:b/>
                <w:bCs/>
              </w:rPr>
            </w:pPr>
            <w:r w:rsidRPr="00B10468"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spacing w:after="0"/>
              <w:contextualSpacing/>
            </w:pPr>
            <w:r w:rsidRPr="00B10468"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spacing w:after="0"/>
              <w:contextualSpacing/>
            </w:pPr>
            <w:r w:rsidRPr="00B10468">
              <w:rPr>
                <w:sz w:val="20"/>
              </w:rPr>
              <w:t>P: -</w:t>
            </w:r>
          </w:p>
        </w:tc>
      </w:tr>
      <w:tr w:rsidR="00B10468" w:rsidRPr="00B10468" w:rsidTr="00044FA2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spacing w:after="0" w:line="276" w:lineRule="auto"/>
              <w:contextualSpacing/>
              <w:rPr>
                <w:bCs/>
                <w:sz w:val="20"/>
              </w:rPr>
            </w:pPr>
            <w:r w:rsidRPr="00B10468">
              <w:rPr>
                <w:color w:val="auto"/>
                <w:sz w:val="20"/>
                <w:szCs w:val="20"/>
              </w:rPr>
              <w:t>Calciumhydroxid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pStyle w:val="Beschriftung"/>
              <w:spacing w:after="0"/>
              <w:contextualSpacing/>
              <w:rPr>
                <w:sz w:val="20"/>
              </w:rPr>
            </w:pPr>
            <w:r w:rsidRPr="00B10468">
              <w:rPr>
                <w:sz w:val="20"/>
              </w:rPr>
              <w:t xml:space="preserve">H: </w:t>
            </w:r>
            <w:r w:rsidRPr="00B10468">
              <w:t>315, 318, 335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pStyle w:val="Beschriftung"/>
              <w:spacing w:after="0"/>
              <w:contextualSpacing/>
              <w:rPr>
                <w:sz w:val="20"/>
              </w:rPr>
            </w:pPr>
            <w:r w:rsidRPr="00B10468">
              <w:rPr>
                <w:sz w:val="20"/>
              </w:rPr>
              <w:t xml:space="preserve">P: </w:t>
            </w:r>
            <w:r w:rsidRPr="00B10468">
              <w:t>261, 280, 305+351+338</w:t>
            </w:r>
          </w:p>
        </w:tc>
      </w:tr>
      <w:tr w:rsidR="00B10468" w:rsidRPr="00B10468" w:rsidTr="00044FA2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spacing w:after="0" w:line="276" w:lineRule="auto"/>
              <w:contextualSpacing/>
              <w:rPr>
                <w:color w:val="auto"/>
                <w:sz w:val="20"/>
                <w:szCs w:val="20"/>
              </w:rPr>
            </w:pPr>
            <w:r w:rsidRPr="00B10468">
              <w:rPr>
                <w:color w:val="auto"/>
                <w:sz w:val="20"/>
                <w:szCs w:val="20"/>
              </w:rPr>
              <w:t>Brausetablette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pStyle w:val="Beschriftung"/>
              <w:spacing w:after="0"/>
              <w:contextualSpacing/>
              <w:rPr>
                <w:sz w:val="20"/>
              </w:rPr>
            </w:pPr>
            <w:r w:rsidRPr="00B10468"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pStyle w:val="Beschriftung"/>
              <w:spacing w:after="0"/>
              <w:contextualSpacing/>
              <w:rPr>
                <w:sz w:val="20"/>
              </w:rPr>
            </w:pPr>
            <w:r w:rsidRPr="00B10468">
              <w:rPr>
                <w:sz w:val="20"/>
              </w:rPr>
              <w:t>P: -</w:t>
            </w:r>
          </w:p>
        </w:tc>
      </w:tr>
      <w:tr w:rsidR="00B10468" w:rsidRPr="00B10468" w:rsidTr="00044FA2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spacing w:after="0" w:line="276" w:lineRule="auto"/>
              <w:contextualSpacing/>
              <w:rPr>
                <w:color w:val="auto"/>
                <w:sz w:val="20"/>
                <w:szCs w:val="20"/>
              </w:rPr>
            </w:pPr>
            <w:r w:rsidRPr="00B10468">
              <w:rPr>
                <w:color w:val="auto"/>
                <w:sz w:val="20"/>
                <w:szCs w:val="20"/>
              </w:rPr>
              <w:t>Cola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pStyle w:val="Beschriftung"/>
              <w:spacing w:after="0"/>
              <w:contextualSpacing/>
              <w:rPr>
                <w:sz w:val="20"/>
              </w:rPr>
            </w:pPr>
            <w:r w:rsidRPr="00B10468"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pStyle w:val="Beschriftung"/>
              <w:spacing w:after="0"/>
              <w:contextualSpacing/>
              <w:rPr>
                <w:sz w:val="20"/>
              </w:rPr>
            </w:pPr>
            <w:r w:rsidRPr="00B10468">
              <w:rPr>
                <w:sz w:val="20"/>
              </w:rPr>
              <w:t>P: -</w:t>
            </w:r>
          </w:p>
        </w:tc>
      </w:tr>
      <w:tr w:rsidR="00B10468" w:rsidRPr="00B10468" w:rsidTr="00044FA2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spacing w:after="0"/>
              <w:contextualSpacing/>
              <w:rPr>
                <w:b/>
                <w:bCs/>
              </w:rPr>
            </w:pPr>
            <w:r w:rsidRPr="00B10468">
              <w:rPr>
                <w:b/>
                <w:bCs/>
                <w:noProof/>
                <w:lang w:eastAsia="de-DE"/>
              </w:rPr>
              <w:drawing>
                <wp:inline distT="0" distB="0" distL="0" distR="0" wp14:anchorId="587B0A63" wp14:editId="034A6E48">
                  <wp:extent cx="540000" cy="540000"/>
                  <wp:effectExtent l="0" t="0" r="0" b="0"/>
                  <wp:docPr id="18" name="Grafik 18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spacing w:after="0"/>
              <w:contextualSpacing/>
            </w:pPr>
            <w:r w:rsidRPr="00B10468">
              <w:rPr>
                <w:noProof/>
                <w:lang w:eastAsia="de-DE"/>
              </w:rPr>
              <w:drawing>
                <wp:inline distT="0" distB="0" distL="0" distR="0" wp14:anchorId="59756C5D" wp14:editId="08CB0C13">
                  <wp:extent cx="540000" cy="540000"/>
                  <wp:effectExtent l="0" t="0" r="0" b="0"/>
                  <wp:docPr id="19" name="Grafik 19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spacing w:after="0"/>
              <w:contextualSpacing/>
            </w:pPr>
            <w:r w:rsidRPr="00B10468">
              <w:rPr>
                <w:noProof/>
                <w:lang w:eastAsia="de-DE"/>
              </w:rPr>
              <w:drawing>
                <wp:inline distT="0" distB="0" distL="0" distR="0" wp14:anchorId="709AE8AD" wp14:editId="01DD2266">
                  <wp:extent cx="540000" cy="540000"/>
                  <wp:effectExtent l="0" t="0" r="0" b="0"/>
                  <wp:docPr id="20" name="Grafik 20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spacing w:after="0"/>
              <w:contextualSpacing/>
            </w:pPr>
            <w:r w:rsidRPr="00B10468">
              <w:rPr>
                <w:noProof/>
                <w:lang w:eastAsia="de-DE"/>
              </w:rPr>
              <w:drawing>
                <wp:inline distT="0" distB="0" distL="0" distR="0" wp14:anchorId="1B7D45C0" wp14:editId="2FE98E0D">
                  <wp:extent cx="540000" cy="540000"/>
                  <wp:effectExtent l="0" t="0" r="0" b="0"/>
                  <wp:docPr id="21" name="Grafik 21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spacing w:after="0"/>
              <w:contextualSpacing/>
            </w:pPr>
            <w:r w:rsidRPr="00B10468">
              <w:rPr>
                <w:noProof/>
                <w:lang w:eastAsia="de-DE"/>
              </w:rPr>
              <w:drawing>
                <wp:inline distT="0" distB="0" distL="0" distR="0" wp14:anchorId="2DFB5527" wp14:editId="1DFE7723">
                  <wp:extent cx="540000" cy="540000"/>
                  <wp:effectExtent l="0" t="0" r="0" b="0"/>
                  <wp:docPr id="24" name="Grafik 24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spacing w:after="0"/>
              <w:contextualSpacing/>
            </w:pPr>
            <w:r w:rsidRPr="00B10468">
              <w:rPr>
                <w:noProof/>
                <w:lang w:eastAsia="de-DE"/>
              </w:rPr>
              <w:drawing>
                <wp:inline distT="0" distB="0" distL="0" distR="0" wp14:anchorId="462D3582" wp14:editId="4F6A941E">
                  <wp:extent cx="540000" cy="540000"/>
                  <wp:effectExtent l="0" t="0" r="0" b="0"/>
                  <wp:docPr id="25" name="Grafik 25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spacing w:after="0"/>
              <w:contextualSpacing/>
            </w:pPr>
            <w:r w:rsidRPr="00B10468">
              <w:rPr>
                <w:noProof/>
                <w:lang w:eastAsia="de-DE"/>
              </w:rPr>
              <w:drawing>
                <wp:inline distT="0" distB="0" distL="0" distR="0" wp14:anchorId="46C11F36" wp14:editId="79D72C10">
                  <wp:extent cx="540000" cy="540000"/>
                  <wp:effectExtent l="0" t="0" r="0" b="0"/>
                  <wp:docPr id="26" name="Grafik 26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spacing w:after="0"/>
              <w:contextualSpacing/>
            </w:pPr>
            <w:r w:rsidRPr="00B10468">
              <w:rPr>
                <w:noProof/>
                <w:lang w:eastAsia="de-DE"/>
              </w:rPr>
              <w:drawing>
                <wp:inline distT="0" distB="0" distL="0" distR="0" wp14:anchorId="4EC24CA9" wp14:editId="0F03CA23">
                  <wp:extent cx="540000" cy="540000"/>
                  <wp:effectExtent l="0" t="0" r="0" b="0"/>
                  <wp:docPr id="27" name="Grafik 27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10468" w:rsidRPr="00B10468" w:rsidRDefault="00B10468" w:rsidP="00044FA2">
            <w:pPr>
              <w:spacing w:after="0"/>
              <w:contextualSpacing/>
            </w:pPr>
            <w:r w:rsidRPr="00B10468">
              <w:rPr>
                <w:noProof/>
                <w:lang w:eastAsia="de-DE"/>
              </w:rPr>
              <w:drawing>
                <wp:inline distT="0" distB="0" distL="0" distR="0" wp14:anchorId="1F6E52EB" wp14:editId="666FCFAB">
                  <wp:extent cx="540000" cy="540000"/>
                  <wp:effectExtent l="0" t="0" r="0" b="0"/>
                  <wp:docPr id="28" name="Grafik 28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468" w:rsidRPr="00B10468" w:rsidRDefault="00B10468" w:rsidP="00B10468">
      <w:pPr>
        <w:spacing w:after="0"/>
        <w:rPr>
          <w:b/>
        </w:rPr>
      </w:pPr>
    </w:p>
    <w:p w:rsidR="00B10468" w:rsidRPr="00B10468" w:rsidRDefault="00B10468" w:rsidP="00B10468">
      <w:pPr>
        <w:spacing w:after="0"/>
        <w:rPr>
          <w:b/>
        </w:rPr>
      </w:pPr>
      <w:r w:rsidRPr="00B10468">
        <w:rPr>
          <w:b/>
        </w:rPr>
        <w:t>Materialien</w:t>
      </w:r>
    </w:p>
    <w:p w:rsidR="00B10468" w:rsidRPr="00B10468" w:rsidRDefault="00B10468" w:rsidP="00B10468">
      <w:pPr>
        <w:spacing w:after="0"/>
      </w:pPr>
      <w:r w:rsidRPr="00B10468">
        <w:t>Becherglas, Glasstab, Pipette, Strohhalm, Erlenmeyerkolben, Waschflasche, Stopfen mit Schlauch, Filtriergestell, Trichter, Filterpapier</w:t>
      </w:r>
    </w:p>
    <w:p w:rsidR="00B10468" w:rsidRPr="00B10468" w:rsidRDefault="00B10468" w:rsidP="00B10468">
      <w:pPr>
        <w:spacing w:after="0"/>
      </w:pPr>
    </w:p>
    <w:p w:rsidR="00B10468" w:rsidRPr="00B10468" w:rsidRDefault="00B10468" w:rsidP="00B10468">
      <w:pPr>
        <w:spacing w:after="0"/>
        <w:rPr>
          <w:b/>
        </w:rPr>
      </w:pPr>
      <w:r w:rsidRPr="00B10468">
        <w:rPr>
          <w:b/>
        </w:rPr>
        <w:t>Chemikalien</w:t>
      </w:r>
    </w:p>
    <w:p w:rsidR="00B10468" w:rsidRPr="00B10468" w:rsidRDefault="00B10468" w:rsidP="00B10468">
      <w:pPr>
        <w:spacing w:after="0"/>
      </w:pPr>
      <w:r w:rsidRPr="00B10468">
        <w:t>Calciumhydroxid, Wasser, Brausetablette, Cola</w:t>
      </w:r>
    </w:p>
    <w:p w:rsidR="00B10468" w:rsidRPr="00B10468" w:rsidRDefault="00B10468" w:rsidP="00B10468">
      <w:pPr>
        <w:spacing w:after="0"/>
      </w:pPr>
    </w:p>
    <w:p w:rsidR="00B10468" w:rsidRPr="00B10468" w:rsidRDefault="00B10468" w:rsidP="00B10468">
      <w:pPr>
        <w:spacing w:after="0"/>
        <w:rPr>
          <w:b/>
        </w:rPr>
      </w:pPr>
      <w:r w:rsidRPr="00B10468">
        <w:rPr>
          <w:b/>
        </w:rPr>
        <w:t>Durchführung</w:t>
      </w:r>
    </w:p>
    <w:p w:rsidR="00B10468" w:rsidRPr="00B10468" w:rsidRDefault="00B10468" w:rsidP="00B10468">
      <w:pPr>
        <w:spacing w:after="0"/>
      </w:pPr>
      <w:r w:rsidRPr="00B10468">
        <w:t xml:space="preserve">Herstellung von Kalkwasser: In einem Becherglas werden 1 g Calciumhydroxid in 125 </w:t>
      </w:r>
      <w:proofErr w:type="spellStart"/>
      <w:r w:rsidRPr="00B10468">
        <w:t>mL</w:t>
      </w:r>
      <w:proofErr w:type="spellEnd"/>
      <w:r w:rsidRPr="00B10468">
        <w:t xml:space="preserve"> Wasser gegeben. Die Lösung wird filtriert.</w:t>
      </w:r>
    </w:p>
    <w:p w:rsidR="00B10468" w:rsidRPr="00B10468" w:rsidRDefault="00B10468" w:rsidP="00B10468">
      <w:pPr>
        <w:pStyle w:val="Listenabsatz"/>
        <w:numPr>
          <w:ilvl w:val="0"/>
          <w:numId w:val="2"/>
        </w:numPr>
        <w:spacing w:after="0" w:line="360" w:lineRule="auto"/>
        <w:rPr>
          <w:rFonts w:ascii="Cambria" w:hAnsi="Cambria"/>
        </w:rPr>
      </w:pPr>
      <w:r w:rsidRPr="00B10468">
        <w:rPr>
          <w:rFonts w:ascii="Cambria" w:hAnsi="Cambria"/>
        </w:rPr>
        <w:t xml:space="preserve">Mit einem Strohhalm wird vorsichtig Atemluft in die Lösung geblasen. </w:t>
      </w:r>
    </w:p>
    <w:p w:rsidR="00B10468" w:rsidRPr="00B10468" w:rsidRDefault="00B10468" w:rsidP="00B10468">
      <w:pPr>
        <w:pStyle w:val="Listenabsatz"/>
        <w:numPr>
          <w:ilvl w:val="0"/>
          <w:numId w:val="2"/>
        </w:numPr>
        <w:spacing w:after="0" w:line="360" w:lineRule="auto"/>
        <w:rPr>
          <w:rFonts w:ascii="Cambria" w:hAnsi="Cambria"/>
        </w:rPr>
      </w:pPr>
      <w:r w:rsidRPr="00B10468">
        <w:rPr>
          <w:rFonts w:ascii="Cambria" w:hAnsi="Cambria"/>
        </w:rPr>
        <w:t>Eine neue Cola-Flasche wird über einen Schlauch mit einer Waschflasche, in der sich Kalkwasser befindet, verbunden.</w:t>
      </w:r>
    </w:p>
    <w:p w:rsidR="00B10468" w:rsidRPr="00B10468" w:rsidRDefault="00B10468" w:rsidP="00B10468">
      <w:pPr>
        <w:pStyle w:val="Listenabsatz"/>
        <w:numPr>
          <w:ilvl w:val="0"/>
          <w:numId w:val="2"/>
        </w:numPr>
        <w:spacing w:after="0" w:line="360" w:lineRule="auto"/>
        <w:rPr>
          <w:rFonts w:ascii="Cambria" w:hAnsi="Cambria"/>
        </w:rPr>
      </w:pPr>
      <w:r w:rsidRPr="00B10468">
        <w:rPr>
          <w:rFonts w:ascii="Cambria" w:hAnsi="Cambria"/>
        </w:rPr>
        <w:t>In einem Erlenmeyerkolben wird eine Brausetablette in Wasser gegeben und das entstehende Gas wird durch eine Waschflasche mit Kalkwasser geleitet.</w:t>
      </w:r>
    </w:p>
    <w:p w:rsidR="00B10468" w:rsidRPr="00B10468" w:rsidRDefault="00B10468" w:rsidP="00B10468">
      <w:pPr>
        <w:spacing w:after="0"/>
      </w:pPr>
      <w:r w:rsidRPr="00B10468">
        <w:t xml:space="preserve"> </w:t>
      </w:r>
    </w:p>
    <w:p w:rsidR="00B10468" w:rsidRPr="00B10468" w:rsidRDefault="00B10468" w:rsidP="00B10468">
      <w:pPr>
        <w:keepNext/>
        <w:spacing w:after="0"/>
      </w:pPr>
      <w:r w:rsidRPr="00B10468">
        <w:rPr>
          <w:noProof/>
        </w:rPr>
        <w:lastRenderedPageBreak/>
        <w:drawing>
          <wp:inline distT="0" distB="0" distL="0" distR="0" wp14:anchorId="6A7ECC34" wp14:editId="1D6CD51D">
            <wp:extent cx="5657850" cy="3333750"/>
            <wp:effectExtent l="0" t="0" r="0" b="0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68" w:rsidRPr="00B10468" w:rsidRDefault="00B10468" w:rsidP="00B10468">
      <w:pPr>
        <w:pStyle w:val="Beschriftung"/>
      </w:pPr>
      <w:r w:rsidRPr="00B10468">
        <w:t xml:space="preserve">Abbildung </w:t>
      </w:r>
      <w:r w:rsidRPr="00B10468">
        <w:fldChar w:fldCharType="begin"/>
      </w:r>
      <w:r w:rsidRPr="00B10468">
        <w:instrText xml:space="preserve"> SEQ Abbildung \* ARABIC </w:instrText>
      </w:r>
      <w:r w:rsidRPr="00B10468">
        <w:fldChar w:fldCharType="separate"/>
      </w:r>
      <w:r w:rsidR="00B9355D">
        <w:rPr>
          <w:noProof/>
        </w:rPr>
        <w:t>1</w:t>
      </w:r>
      <w:r w:rsidRPr="00B10468">
        <w:rPr>
          <w:noProof/>
        </w:rPr>
        <w:fldChar w:fldCharType="end"/>
      </w:r>
      <w:r w:rsidRPr="00B10468">
        <w:t>: links Versuchsaufbau c), rechts Ergebnis c) (Brausetablette).</w:t>
      </w:r>
    </w:p>
    <w:p w:rsidR="00B10468" w:rsidRPr="00B10468" w:rsidRDefault="00B10468" w:rsidP="00B10468">
      <w:pPr>
        <w:spacing w:after="0"/>
        <w:rPr>
          <w:b/>
        </w:rPr>
      </w:pPr>
      <w:r w:rsidRPr="00B10468">
        <w:rPr>
          <w:b/>
        </w:rPr>
        <w:t>Beobachtung</w:t>
      </w:r>
    </w:p>
    <w:p w:rsidR="00B10468" w:rsidRPr="00B10468" w:rsidRDefault="00B10468" w:rsidP="00B10468">
      <w:pPr>
        <w:pStyle w:val="Listenabsatz"/>
        <w:numPr>
          <w:ilvl w:val="0"/>
          <w:numId w:val="3"/>
        </w:numPr>
        <w:spacing w:after="0" w:line="360" w:lineRule="auto"/>
        <w:rPr>
          <w:rFonts w:ascii="Cambria" w:hAnsi="Cambria"/>
        </w:rPr>
      </w:pPr>
      <w:r w:rsidRPr="00B10468">
        <w:rPr>
          <w:rFonts w:ascii="Cambria" w:hAnsi="Cambria"/>
        </w:rPr>
        <w:t>Nachdem in die Lösung geblasen wurde, trübt sich die Lösung.</w:t>
      </w:r>
    </w:p>
    <w:p w:rsidR="00B10468" w:rsidRPr="00B10468" w:rsidRDefault="00B10468" w:rsidP="00B10468">
      <w:pPr>
        <w:pStyle w:val="Listenabsatz"/>
        <w:numPr>
          <w:ilvl w:val="0"/>
          <w:numId w:val="3"/>
        </w:numPr>
        <w:spacing w:after="0" w:line="360" w:lineRule="auto"/>
        <w:rPr>
          <w:rFonts w:ascii="Cambria" w:hAnsi="Cambria"/>
        </w:rPr>
      </w:pPr>
      <w:r w:rsidRPr="00B10468">
        <w:rPr>
          <w:rFonts w:ascii="Cambria" w:hAnsi="Cambria"/>
        </w:rPr>
        <w:t>In der Waschflasche steigen einige Blasen auf. Das Kalkwasser trübt sich.</w:t>
      </w:r>
    </w:p>
    <w:p w:rsidR="00B10468" w:rsidRPr="00B10468" w:rsidRDefault="00B10468" w:rsidP="00B10468">
      <w:pPr>
        <w:pStyle w:val="Listenabsatz"/>
        <w:numPr>
          <w:ilvl w:val="0"/>
          <w:numId w:val="3"/>
        </w:numPr>
        <w:spacing w:after="0" w:line="360" w:lineRule="auto"/>
        <w:rPr>
          <w:rFonts w:ascii="Cambria" w:hAnsi="Cambria"/>
        </w:rPr>
      </w:pPr>
      <w:r w:rsidRPr="00B10468">
        <w:rPr>
          <w:rFonts w:ascii="Cambria" w:hAnsi="Cambria"/>
        </w:rPr>
        <w:t>In der Waschflasche steigen viele Blasen auf. Das Kalkwasser trübt sich.</w:t>
      </w:r>
    </w:p>
    <w:p w:rsidR="00B10468" w:rsidRPr="00B10468" w:rsidRDefault="00B10468" w:rsidP="00B10468">
      <w:pPr>
        <w:spacing w:after="0"/>
      </w:pPr>
    </w:p>
    <w:p w:rsidR="00B10468" w:rsidRPr="00B10468" w:rsidRDefault="00B10468" w:rsidP="00B10468">
      <w:pPr>
        <w:spacing w:after="0"/>
        <w:rPr>
          <w:b/>
        </w:rPr>
      </w:pPr>
      <w:r w:rsidRPr="00B10468">
        <w:rPr>
          <w:b/>
        </w:rPr>
        <w:t>Deutung</w:t>
      </w:r>
    </w:p>
    <w:p w:rsidR="00B10468" w:rsidRPr="00B10468" w:rsidRDefault="00B10468" w:rsidP="00B10468">
      <w:pPr>
        <w:spacing w:after="0"/>
      </w:pPr>
      <w:r w:rsidRPr="00B10468">
        <w:t>Bei allen drei Teilversuchen durchströmt Kohlenstoffdioxidgas das Kalkwasser. Im Kalkwasser reagiert Kohlenstoffdioxid mit Calciumhydroxid zu Calciumcarbonat, was als weißer Feststoff ausfällt, da es in Wasser schwer löslich ist:</w:t>
      </w:r>
    </w:p>
    <w:p w:rsidR="00B10468" w:rsidRPr="00B10468" w:rsidRDefault="00B10468" w:rsidP="00B10468">
      <w:pPr>
        <w:spacing w:after="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Ca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(OH)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 (aq)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2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CaCO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 (s)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(l)</m:t>
              </m:r>
            </m:sub>
          </m:sSub>
        </m:oMath>
      </m:oMathPara>
    </w:p>
    <w:p w:rsidR="00B10468" w:rsidRPr="00B10468" w:rsidRDefault="00B10468" w:rsidP="00B10468">
      <w:pPr>
        <w:spacing w:after="0"/>
      </w:pPr>
      <w:r w:rsidRPr="00B10468">
        <w:t xml:space="preserve">Je nach Lernstand, kann eine Wortgleichung ausreichen. Es sollte nicht zu viel Kohlenstoffdioxidgas eingeleitet werden, da sonst das Calciumcarbonat </w:t>
      </w:r>
      <w:proofErr w:type="gramStart"/>
      <w:r w:rsidRPr="00B10468">
        <w:t>nach folgender</w:t>
      </w:r>
      <w:proofErr w:type="gramEnd"/>
      <w:r w:rsidRPr="00B10468">
        <w:t xml:space="preserve"> Reaktionsgleichung reagiert und die Trübung verschwindet:</w:t>
      </w:r>
    </w:p>
    <w:p w:rsidR="00B10468" w:rsidRPr="00B10468" w:rsidRDefault="00B10468" w:rsidP="00B10468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CaCO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 (s)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2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(l)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⇌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 HCO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</m:sSub>
        </m:oMath>
      </m:oMathPara>
    </w:p>
    <w:p w:rsidR="00B10468" w:rsidRPr="00B10468" w:rsidRDefault="00B10468" w:rsidP="00B10468">
      <w:pPr>
        <w:spacing w:after="0"/>
      </w:pPr>
      <w:r w:rsidRPr="00B10468">
        <w:t>Diese Gleichgewichtsreaktion kann erst in der Oberstufe thematisiert werden, weil dort das Thema chemisches Gleichgewicht behandelt wird.</w:t>
      </w:r>
    </w:p>
    <w:p w:rsidR="00B10468" w:rsidRPr="00B10468" w:rsidRDefault="00B10468" w:rsidP="00B10468">
      <w:pPr>
        <w:spacing w:after="0"/>
      </w:pPr>
    </w:p>
    <w:p w:rsidR="00B10468" w:rsidRPr="00B10468" w:rsidRDefault="00B10468" w:rsidP="00B10468">
      <w:pPr>
        <w:spacing w:after="0"/>
        <w:rPr>
          <w:b/>
        </w:rPr>
      </w:pPr>
      <w:r w:rsidRPr="00B10468">
        <w:rPr>
          <w:b/>
        </w:rPr>
        <w:t>Entsorgung</w:t>
      </w:r>
    </w:p>
    <w:p w:rsidR="00B10468" w:rsidRPr="00B10468" w:rsidRDefault="00B10468" w:rsidP="00B10468">
      <w:pPr>
        <w:spacing w:after="0"/>
      </w:pPr>
      <w:r w:rsidRPr="00B10468">
        <w:t>Die Calciumhydroxid-Lösung wird neutralisiert und in den Ausguss gegeben.</w:t>
      </w:r>
    </w:p>
    <w:p w:rsidR="00B10468" w:rsidRPr="00B10468" w:rsidRDefault="00B10468" w:rsidP="00B10468">
      <w:pPr>
        <w:spacing w:after="0"/>
      </w:pPr>
    </w:p>
    <w:p w:rsidR="00B10468" w:rsidRPr="00B10468" w:rsidRDefault="00B10468" w:rsidP="00B10468">
      <w:pPr>
        <w:spacing w:after="0"/>
        <w:rPr>
          <w:b/>
        </w:rPr>
      </w:pPr>
      <w:r w:rsidRPr="00B10468">
        <w:rPr>
          <w:b/>
        </w:rPr>
        <w:t>Literatur</w:t>
      </w:r>
    </w:p>
    <w:p w:rsidR="00B10468" w:rsidRPr="00B10468" w:rsidRDefault="00B10468" w:rsidP="00B10468">
      <w:pPr>
        <w:spacing w:after="0"/>
      </w:pPr>
      <w:r w:rsidRPr="00B10468">
        <w:t xml:space="preserve">[1] E. Schweda, </w:t>
      </w:r>
      <w:proofErr w:type="spellStart"/>
      <w:r w:rsidRPr="00B10468">
        <w:t>Jander</w:t>
      </w:r>
      <w:proofErr w:type="spellEnd"/>
      <w:r w:rsidRPr="00B10468">
        <w:t>/Blasius – Anorganische Chemie I, Hirzel Verlag, 17. Auflage, 2012, S. 254.</w:t>
      </w:r>
    </w:p>
    <w:p w:rsidR="00B10468" w:rsidRPr="00B10468" w:rsidRDefault="00B10468" w:rsidP="00B10468">
      <w:pPr>
        <w:spacing w:after="0"/>
      </w:pPr>
    </w:p>
    <w:p w:rsidR="00B10468" w:rsidRPr="00B10468" w:rsidRDefault="00B10468" w:rsidP="00B10468">
      <w:pPr>
        <w:spacing w:after="0"/>
        <w:rPr>
          <w:b/>
        </w:rPr>
      </w:pPr>
      <w:r w:rsidRPr="00B10468">
        <w:rPr>
          <w:b/>
        </w:rPr>
        <w:t>Unterrichtsanschlüsse</w:t>
      </w:r>
    </w:p>
    <w:p w:rsidR="00B10468" w:rsidRPr="00B10468" w:rsidRDefault="00B10468" w:rsidP="00B10468">
      <w:pPr>
        <w:spacing w:after="0"/>
      </w:pPr>
      <w:r w:rsidRPr="00B10468">
        <w:t xml:space="preserve">Wenn die Kalkwasserprobe bekannt ist, können beispielsweise Verbrennungsreaktionen auf ihre Produkte untersucht werden. Der Teilversuch a) sollte von den </w:t>
      </w:r>
      <w:proofErr w:type="spellStart"/>
      <w:r w:rsidRPr="00B10468">
        <w:t>SuS</w:t>
      </w:r>
      <w:proofErr w:type="spellEnd"/>
      <w:r w:rsidRPr="00B10468">
        <w:t xml:space="preserve"> nur durchgeführt werden, wenn eine Waschflasche dazwischengeschaltet wurde, weil Verätzungsgefahr besteht. Es sollte darauf geachtet werden, nicht zu viel Kohlenstoffdioxid einzuleiten, weil sonst die Trübung durch das Calciumcarbonat verschwindet.</w:t>
      </w:r>
    </w:p>
    <w:p w:rsidR="009F5140" w:rsidRPr="00B10468" w:rsidRDefault="009F5140"/>
    <w:sectPr w:rsidR="009F5140" w:rsidRPr="00B104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46E0"/>
    <w:multiLevelType w:val="hybridMultilevel"/>
    <w:tmpl w:val="7D12B7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F4A62A6"/>
    <w:multiLevelType w:val="hybridMultilevel"/>
    <w:tmpl w:val="363056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68"/>
    <w:rsid w:val="009F5140"/>
    <w:rsid w:val="00B10468"/>
    <w:rsid w:val="00B9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F4214-494A-4130-A6A5-DB9FD255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10468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0468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046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10468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046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046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046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046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046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046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468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0468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10468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04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04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04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04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04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04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10468"/>
    <w:pPr>
      <w:spacing w:line="240" w:lineRule="auto"/>
    </w:pPr>
    <w:rPr>
      <w:bCs/>
      <w:color w:val="auto"/>
      <w:sz w:val="18"/>
      <w:szCs w:val="18"/>
    </w:rPr>
  </w:style>
  <w:style w:type="paragraph" w:styleId="Listenabsatz">
    <w:name w:val="List Paragraph"/>
    <w:basedOn w:val="Standard"/>
    <w:uiPriority w:val="34"/>
    <w:qFormat/>
    <w:rsid w:val="00B10468"/>
    <w:pPr>
      <w:spacing w:line="276" w:lineRule="auto"/>
      <w:ind w:left="720"/>
      <w:contextualSpacing/>
    </w:pPr>
    <w:rPr>
      <w:rFonts w:asciiTheme="minorHAnsi" w:hAnsi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microsoft.com/office/2007/relationships/hdphoto" Target="media/hdphoto7.wdp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microsoft.com/office/2007/relationships/hdphoto" Target="media/hdphoto5.wdp"/><Relationship Id="rId23" Type="http://schemas.openxmlformats.org/officeDocument/2006/relationships/theme" Target="theme/theme1.xml"/><Relationship Id="rId10" Type="http://schemas.microsoft.com/office/2007/relationships/hdphoto" Target="media/hdphoto3.wdp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Schoeneich Hendrik</dc:creator>
  <cp:keywords/>
  <dc:description/>
  <cp:lastModifiedBy>Schoeneich Hendrik</cp:lastModifiedBy>
  <cp:revision>2</cp:revision>
  <cp:lastPrinted>2017-08-04T14:12:00Z</cp:lastPrinted>
  <dcterms:created xsi:type="dcterms:W3CDTF">2017-08-04T14:11:00Z</dcterms:created>
  <dcterms:modified xsi:type="dcterms:W3CDTF">2017-08-04T14:12:00Z</dcterms:modified>
</cp:coreProperties>
</file>