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DD" w:rsidRPr="003B2ADD" w:rsidRDefault="003B2ADD" w:rsidP="003B2ADD">
      <w:pPr>
        <w:pStyle w:val="berschrift2"/>
        <w:keepNext w:val="0"/>
        <w:keepLines w:val="0"/>
        <w:widowControl w:val="0"/>
        <w:spacing w:after="0"/>
        <w:contextualSpacing/>
        <w:rPr>
          <w:rFonts w:ascii="Cambria" w:hAnsi="Cambria"/>
        </w:rPr>
      </w:pPr>
      <w:bookmarkStart w:id="0" w:name="_Toc488678339"/>
      <w:r w:rsidRPr="003B2ADD">
        <w:rPr>
          <w:rFonts w:ascii="Cambria" w:hAnsi="Cambria"/>
        </w:rPr>
        <w:t>V2 – Feuerlöscher</w:t>
      </w:r>
      <w:bookmarkEnd w:id="0"/>
    </w:p>
    <w:p w:rsidR="003B2ADD" w:rsidRPr="00C12354" w:rsidRDefault="003B2ADD" w:rsidP="003B2ADD">
      <w:pPr>
        <w:widowControl w:val="0"/>
        <w:spacing w:after="0"/>
        <w:contextualSpacing/>
        <w:rPr>
          <w:i/>
          <w:color w:val="auto"/>
        </w:rPr>
      </w:pPr>
      <w:bookmarkStart w:id="1" w:name="_GoBack"/>
      <w:r w:rsidRPr="00C12354">
        <w:rPr>
          <w:i/>
          <w:color w:val="auto"/>
        </w:rPr>
        <w:t xml:space="preserve">Mithilfe von Kohlenstoffdioxidgas, </w:t>
      </w:r>
      <w:proofErr w:type="gramStart"/>
      <w:r w:rsidRPr="00C12354">
        <w:rPr>
          <w:i/>
          <w:color w:val="auto"/>
        </w:rPr>
        <w:t>das</w:t>
      </w:r>
      <w:proofErr w:type="gramEnd"/>
      <w:r w:rsidRPr="00C12354">
        <w:rPr>
          <w:i/>
          <w:color w:val="auto"/>
        </w:rPr>
        <w:t xml:space="preserve"> durch thermische Zersetzung von Natriumhydrogencarbonat entsteht, werden nacheinander zwei Teelichte gelöscht, die auf unterschiedlichen Höhen gestellt werden.</w:t>
      </w:r>
    </w:p>
    <w:bookmarkEnd w:id="1"/>
    <w:p w:rsidR="003B2ADD" w:rsidRPr="003B2ADD" w:rsidRDefault="003B2ADD" w:rsidP="003B2ADD">
      <w:pPr>
        <w:widowControl w:val="0"/>
        <w:spacing w:after="0"/>
        <w:contextualSpacing/>
        <w:rPr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B2ADD" w:rsidRPr="003B2ADD" w:rsidTr="00044FA2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3B2ADD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B2ADD" w:rsidRPr="003B2ADD" w:rsidTr="00044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  <w:rPr>
                <w:b/>
                <w:bCs/>
              </w:rPr>
            </w:pPr>
            <w:r w:rsidRPr="003B2ADD">
              <w:rPr>
                <w:sz w:val="20"/>
              </w:rPr>
              <w:t>Kohlenstoffdioxid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sz w:val="20"/>
              </w:rPr>
              <w:t>P: -</w:t>
            </w:r>
          </w:p>
        </w:tc>
      </w:tr>
      <w:tr w:rsidR="003B2ADD" w:rsidRPr="003B2ADD" w:rsidTr="00044FA2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  <w:rPr>
                <w:bCs/>
                <w:sz w:val="20"/>
              </w:rPr>
            </w:pPr>
            <w:r w:rsidRPr="003B2ADD">
              <w:rPr>
                <w:color w:val="auto"/>
                <w:sz w:val="20"/>
                <w:szCs w:val="20"/>
              </w:rPr>
              <w:t>Natriumhydrogencarbonat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 w:rsidRPr="003B2ADD"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 w:rsidRPr="003B2ADD">
              <w:rPr>
                <w:sz w:val="20"/>
              </w:rPr>
              <w:t>P: -</w:t>
            </w:r>
          </w:p>
        </w:tc>
      </w:tr>
      <w:tr w:rsidR="003B2ADD" w:rsidRPr="003B2ADD" w:rsidTr="00044FA2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3B2ADD">
              <w:rPr>
                <w:color w:val="auto"/>
                <w:sz w:val="20"/>
                <w:szCs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 w:rsidRPr="003B2ADD">
              <w:rPr>
                <w:sz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pStyle w:val="Beschriftung"/>
              <w:widowControl w:val="0"/>
              <w:spacing w:after="0" w:line="360" w:lineRule="auto"/>
              <w:contextualSpacing/>
              <w:rPr>
                <w:sz w:val="20"/>
              </w:rPr>
            </w:pPr>
            <w:r w:rsidRPr="003B2ADD">
              <w:rPr>
                <w:sz w:val="20"/>
              </w:rPr>
              <w:t>P: 260, 305+351+338</w:t>
            </w:r>
          </w:p>
        </w:tc>
      </w:tr>
      <w:tr w:rsidR="003B2ADD" w:rsidRPr="003B2ADD" w:rsidTr="00044FA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  <w:rPr>
                <w:b/>
                <w:bCs/>
              </w:rPr>
            </w:pPr>
            <w:r w:rsidRPr="003B2ADD">
              <w:rPr>
                <w:b/>
                <w:bCs/>
                <w:noProof/>
                <w:lang w:eastAsia="de-DE"/>
              </w:rPr>
              <w:drawing>
                <wp:inline distT="0" distB="0" distL="0" distR="0" wp14:anchorId="50F624A0" wp14:editId="0DE7EB30">
                  <wp:extent cx="540000" cy="540000"/>
                  <wp:effectExtent l="0" t="0" r="0" b="0"/>
                  <wp:docPr id="12" name="Grafik 12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15365AD8" wp14:editId="6147D21B">
                  <wp:extent cx="540000" cy="540000"/>
                  <wp:effectExtent l="0" t="0" r="0" b="0"/>
                  <wp:docPr id="13" name="Grafik 13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1B543425" wp14:editId="08613D38">
                  <wp:extent cx="540000" cy="540000"/>
                  <wp:effectExtent l="0" t="0" r="0" b="0"/>
                  <wp:docPr id="14" name="Grafik 14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157655A7" wp14:editId="77C0A601">
                  <wp:extent cx="540000" cy="540000"/>
                  <wp:effectExtent l="0" t="0" r="0" b="0"/>
                  <wp:docPr id="15" name="Grafik 15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34AD795D" wp14:editId="7E15A824">
                  <wp:extent cx="540000" cy="540000"/>
                  <wp:effectExtent l="0" t="0" r="0" b="0"/>
                  <wp:docPr id="16" name="Grafik 16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1FE07899" wp14:editId="017F4174">
                  <wp:extent cx="540000" cy="540000"/>
                  <wp:effectExtent l="0" t="0" r="0" b="0"/>
                  <wp:docPr id="17" name="Grafik 17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09FEB7A4" wp14:editId="0BD7C069">
                  <wp:extent cx="540000" cy="540000"/>
                  <wp:effectExtent l="0" t="0" r="0" b="0"/>
                  <wp:docPr id="18" name="Grafik 18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6EFD331A" wp14:editId="029E626D">
                  <wp:extent cx="540000" cy="540000"/>
                  <wp:effectExtent l="0" t="0" r="0" b="0"/>
                  <wp:docPr id="19" name="Grafik 19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B2ADD" w:rsidRPr="003B2ADD" w:rsidRDefault="003B2ADD" w:rsidP="00044FA2">
            <w:pPr>
              <w:widowControl w:val="0"/>
              <w:spacing w:after="0"/>
              <w:contextualSpacing/>
            </w:pPr>
            <w:r w:rsidRPr="003B2ADD">
              <w:rPr>
                <w:noProof/>
                <w:lang w:eastAsia="de-DE"/>
              </w:rPr>
              <w:drawing>
                <wp:inline distT="0" distB="0" distL="0" distR="0" wp14:anchorId="11328FBF" wp14:editId="5BC142F1">
                  <wp:extent cx="540000" cy="540000"/>
                  <wp:effectExtent l="0" t="0" r="0" b="0"/>
                  <wp:docPr id="20" name="Grafik 20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ADD" w:rsidRPr="003B2ADD" w:rsidRDefault="003B2ADD" w:rsidP="003B2ADD">
      <w:pPr>
        <w:widowControl w:val="0"/>
        <w:tabs>
          <w:tab w:val="left" w:pos="1701"/>
          <w:tab w:val="left" w:pos="1985"/>
        </w:tabs>
        <w:spacing w:after="0"/>
        <w:ind w:left="1980" w:hanging="1980"/>
        <w:contextualSpacing/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Materialien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>Duran-Reagenzglas, Glasrohr mit Stopfen, Kristallisationsschale, Spatel, Stativ mit Klemme, 2x Teelicht, Petrischale</w:t>
      </w:r>
    </w:p>
    <w:p w:rsidR="003B2ADD" w:rsidRPr="003B2ADD" w:rsidRDefault="003B2ADD" w:rsidP="003B2ADD">
      <w:pPr>
        <w:widowControl w:val="0"/>
        <w:spacing w:after="0"/>
        <w:ind w:left="1701" w:hanging="1701"/>
        <w:contextualSpacing/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Chemikalien</w:t>
      </w:r>
    </w:p>
    <w:p w:rsidR="003B2ADD" w:rsidRPr="003B2ADD" w:rsidRDefault="003B2ADD" w:rsidP="003B2ADD">
      <w:pPr>
        <w:widowControl w:val="0"/>
        <w:spacing w:after="0"/>
        <w:ind w:left="1701" w:hanging="1701"/>
        <w:contextualSpacing/>
      </w:pPr>
      <w:r w:rsidRPr="003B2ADD">
        <w:t>Natriumhydrogencarbonat</w:t>
      </w:r>
    </w:p>
    <w:p w:rsidR="003B2ADD" w:rsidRPr="003B2ADD" w:rsidRDefault="003B2ADD" w:rsidP="003B2ADD">
      <w:pPr>
        <w:widowControl w:val="0"/>
        <w:spacing w:after="0"/>
        <w:ind w:left="1701" w:hanging="1701"/>
        <w:contextualSpacing/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Durchführung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>In der Kristallisationsschale werden zwei Teelichte, die durch eine Petrischale auf unterschiedlicher Höhe stehen, angezündet. In einem Duran-Reagenzglas, das waagerecht eingespannt wurde, wird 3 g Natriumhydrogencarbonat erhitzt. Das Reagenzglas steht über einen Stopfen mit Glasrohr mit der Kristallisationsschale in Kontakt.</w:t>
      </w:r>
    </w:p>
    <w:p w:rsidR="003B2ADD" w:rsidRPr="003B2ADD" w:rsidRDefault="003B2ADD" w:rsidP="003B2ADD">
      <w:pPr>
        <w:keepNext/>
        <w:widowControl w:val="0"/>
        <w:spacing w:after="0"/>
        <w:contextualSpacing/>
        <w:jc w:val="center"/>
      </w:pPr>
      <w:r w:rsidRPr="003B2ADD">
        <w:rPr>
          <w:noProof/>
        </w:rPr>
        <w:drawing>
          <wp:inline distT="0" distB="0" distL="0" distR="0" wp14:anchorId="2031FD02" wp14:editId="38C3E6F5">
            <wp:extent cx="3000375" cy="2171065"/>
            <wp:effectExtent l="0" t="0" r="0" b="0"/>
            <wp:docPr id="4" name="Grafik 4" descr="C:\Users\ACER\AppData\Local\Microsoft\Windows\INetCache\Content.Word\DSC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913" t="11331" r="22856" b="-391"/>
                    <a:stretch/>
                  </pic:blipFill>
                  <pic:spPr bwMode="auto">
                    <a:xfrm>
                      <a:off x="0" y="0"/>
                      <a:ext cx="3003538" cy="21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ADD" w:rsidRPr="003B2ADD" w:rsidRDefault="003B2ADD" w:rsidP="003B2ADD">
      <w:pPr>
        <w:pStyle w:val="Beschriftung"/>
        <w:jc w:val="center"/>
      </w:pPr>
      <w:r w:rsidRPr="003B2ADD">
        <w:t xml:space="preserve">Abbildung </w:t>
      </w:r>
      <w:r w:rsidRPr="003B2ADD">
        <w:fldChar w:fldCharType="begin"/>
      </w:r>
      <w:r w:rsidRPr="003B2ADD">
        <w:instrText xml:space="preserve"> SEQ Abbildung \* ARABIC </w:instrText>
      </w:r>
      <w:r w:rsidRPr="003B2ADD">
        <w:fldChar w:fldCharType="separate"/>
      </w:r>
      <w:r w:rsidR="00C12354">
        <w:rPr>
          <w:noProof/>
        </w:rPr>
        <w:t>1</w:t>
      </w:r>
      <w:r w:rsidRPr="003B2ADD">
        <w:rPr>
          <w:noProof/>
        </w:rPr>
        <w:fldChar w:fldCharType="end"/>
      </w:r>
      <w:r w:rsidRPr="003B2ADD">
        <w:t>: Versuchsaufbau V2.</w:t>
      </w: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Beobachtung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 xml:space="preserve">Zunächst erlischt das Teelicht, das auf dem Boden der Kristallisationsschale steht. Das erhöhte </w:t>
      </w:r>
      <w:r w:rsidRPr="003B2ADD">
        <w:lastRenderedPageBreak/>
        <w:t>Teelicht erlischt kurze Zeit darauf. Am Reagenzglas ist die Bildung von Tröpfchen zu sehen.</w:t>
      </w:r>
    </w:p>
    <w:p w:rsidR="003B2ADD" w:rsidRPr="003B2ADD" w:rsidRDefault="003B2ADD" w:rsidP="003B2ADD">
      <w:pPr>
        <w:widowControl w:val="0"/>
        <w:spacing w:after="0"/>
        <w:contextualSpacing/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Deutung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>Im Reagenzglas läuft die thermische Zersetzung von Natriumhydrogencarbonat zu Natriumcarbonat, Kohlenstoffdioxid und Wasser ab. Das Wasser kondensiert am Reagenzglas.</w:t>
      </w:r>
    </w:p>
    <w:p w:rsidR="003B2ADD" w:rsidRPr="003B2ADD" w:rsidRDefault="003B2ADD" w:rsidP="003B2A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 NaHCO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3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 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(g)</m:t>
              </m:r>
            </m:sub>
          </m:sSub>
        </m:oMath>
      </m:oMathPara>
    </w:p>
    <w:p w:rsidR="003B2ADD" w:rsidRPr="003B2ADD" w:rsidRDefault="003B2ADD" w:rsidP="003B2ADD">
      <w:pPr>
        <w:widowControl w:val="0"/>
        <w:tabs>
          <w:tab w:val="left" w:pos="0"/>
          <w:tab w:val="left" w:pos="1701"/>
        </w:tabs>
        <w:spacing w:after="0"/>
        <w:contextualSpacing/>
        <w:rPr>
          <w:rFonts w:eastAsiaTheme="minorEastAsia"/>
        </w:rPr>
      </w:pPr>
      <w:r w:rsidRPr="003B2ADD">
        <w:rPr>
          <w:rFonts w:eastAsiaTheme="minorEastAsia"/>
        </w:rPr>
        <w:t>Das Kohlenstoffdioxidgas sammelt sich aufgrund seiner höheren Dichte am Boden der Kristallisationsschale. Dort verdrängt es den Luftsauerstoff, den das untere Teelicht benötigt – die Flamme erlischt. Erst wenn sich genügend Kohlenstoffdioxidgas gesammelt hat, erlischt auch das obere Teelicht.</w:t>
      </w:r>
    </w:p>
    <w:p w:rsidR="003B2ADD" w:rsidRPr="003B2ADD" w:rsidRDefault="003B2ADD" w:rsidP="003B2ADD">
      <w:pPr>
        <w:widowControl w:val="0"/>
        <w:tabs>
          <w:tab w:val="left" w:pos="1701"/>
          <w:tab w:val="left" w:pos="1985"/>
        </w:tabs>
        <w:spacing w:after="0"/>
        <w:contextualSpacing/>
        <w:rPr>
          <w:rFonts w:eastAsiaTheme="minorEastAsia"/>
        </w:rPr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Entsorgung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>Die Entsorgung des Natriumcarbonats erfolgt im Behälter für saure Metallsalzlösungen.</w:t>
      </w:r>
    </w:p>
    <w:p w:rsidR="003B2ADD" w:rsidRPr="003B2ADD" w:rsidRDefault="003B2ADD" w:rsidP="003B2ADD">
      <w:pPr>
        <w:widowControl w:val="0"/>
        <w:spacing w:after="0"/>
        <w:ind w:left="1701" w:hanging="1701"/>
        <w:contextualSpacing/>
      </w:pPr>
    </w:p>
    <w:p w:rsidR="003B2ADD" w:rsidRPr="003B2ADD" w:rsidRDefault="003B2ADD" w:rsidP="003B2ADD">
      <w:pPr>
        <w:widowControl w:val="0"/>
        <w:spacing w:after="0"/>
        <w:ind w:left="1701" w:hanging="1701"/>
        <w:contextualSpacing/>
        <w:rPr>
          <w:b/>
        </w:rPr>
      </w:pPr>
      <w:r w:rsidRPr="003B2ADD">
        <w:rPr>
          <w:b/>
        </w:rPr>
        <w:t>Literatur</w:t>
      </w:r>
    </w:p>
    <w:p w:rsidR="003B2ADD" w:rsidRPr="003B2ADD" w:rsidRDefault="003B2ADD" w:rsidP="003B2ADD">
      <w:pPr>
        <w:widowControl w:val="0"/>
        <w:spacing w:after="0"/>
        <w:contextualSpacing/>
      </w:pPr>
      <w:r w:rsidRPr="003B2ADD">
        <w:t xml:space="preserve">[1] D. </w:t>
      </w:r>
      <w:proofErr w:type="spellStart"/>
      <w:r w:rsidRPr="003B2ADD">
        <w:t>Wiechoczek</w:t>
      </w:r>
      <w:proofErr w:type="spellEnd"/>
      <w:r w:rsidRPr="003B2ADD">
        <w:t>, http://www.chemieunterricht.de/dc2/haus/v129.htm, 06.04.2010 (zuletzt aufgerufen am 23.07.2017 um 12:45).</w:t>
      </w:r>
    </w:p>
    <w:p w:rsidR="009F5140" w:rsidRPr="003B2ADD" w:rsidRDefault="009F5140"/>
    <w:sectPr w:rsidR="009F5140" w:rsidRPr="003B2ADD" w:rsidSect="00346B45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07" w:rsidRDefault="00286607" w:rsidP="003B2ADD">
      <w:pPr>
        <w:spacing w:after="0" w:line="240" w:lineRule="auto"/>
      </w:pPr>
      <w:r>
        <w:separator/>
      </w:r>
    </w:p>
  </w:endnote>
  <w:endnote w:type="continuationSeparator" w:id="0">
    <w:p w:rsidR="00286607" w:rsidRDefault="00286607" w:rsidP="003B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07" w:rsidRDefault="00286607" w:rsidP="003B2ADD">
      <w:pPr>
        <w:spacing w:after="0" w:line="240" w:lineRule="auto"/>
      </w:pPr>
      <w:r>
        <w:separator/>
      </w:r>
    </w:p>
  </w:footnote>
  <w:footnote w:type="continuationSeparator" w:id="0">
    <w:p w:rsidR="00286607" w:rsidRDefault="00286607" w:rsidP="003B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DD"/>
    <w:rsid w:val="00286607"/>
    <w:rsid w:val="003B2ADD"/>
    <w:rsid w:val="009F5140"/>
    <w:rsid w:val="00C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5C4F"/>
  <w15:chartTrackingRefBased/>
  <w15:docId w15:val="{C873EB1E-49E4-433D-85DA-E60BEC1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2ADD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2AD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2AD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2AD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2AD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2AD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2AD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2AD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2AD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2AD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2ADD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2ADD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2ADD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2AD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2A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2A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2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2A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2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B2ADD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ADD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ADD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jpe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2</cp:revision>
  <cp:lastPrinted>2017-08-04T14:13:00Z</cp:lastPrinted>
  <dcterms:created xsi:type="dcterms:W3CDTF">2017-08-04T14:13:00Z</dcterms:created>
  <dcterms:modified xsi:type="dcterms:W3CDTF">2017-08-04T14:14:00Z</dcterms:modified>
</cp:coreProperties>
</file>