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EFC" w:rsidRDefault="00E44EFC" w:rsidP="00E44EFC">
      <w:pPr>
        <w:pStyle w:val="berschrift1"/>
        <w:numPr>
          <w:ilvl w:val="0"/>
          <w:numId w:val="0"/>
        </w:numPr>
      </w:pPr>
      <w:bookmarkStart w:id="0" w:name="_GoBack"/>
      <w:bookmarkEnd w:id="0"/>
      <w:r>
        <w:rPr>
          <w:noProof/>
          <w:lang w:eastAsia="de-DE"/>
        </w:rPr>
        <w:pict>
          <v:shapetype id="_x0000_t202" coordsize="21600,21600" o:spt="202" path="m,l,21600r21600,l21600,xe">
            <v:stroke joinstyle="miter"/>
            <v:path gradientshapeok="t" o:connecttype="rect"/>
          </v:shapetype>
          <v:shape id="_x0000_s1030" type="#_x0000_t202" style="position:absolute;left:0;text-align:left;margin-left:-.05pt;margin-top:45.85pt;width:462.45pt;height:79.4pt;z-index:251660288;mso-width-relative:margin;mso-height-relative:margin" fillcolor="white [3201]" strokecolor="#4bacc6 [3208]" strokeweight="1pt">
            <v:stroke dashstyle="dash"/>
            <v:shadow color="#868686"/>
            <v:textbox style="mso-next-textbox:#_x0000_s1030">
              <w:txbxContent>
                <w:p w:rsidR="00E44EFC" w:rsidRPr="00A537B5" w:rsidRDefault="00E44EFC" w:rsidP="00E44EFC">
                  <w:pPr>
                    <w:rPr>
                      <w:color w:val="auto"/>
                    </w:rPr>
                  </w:pPr>
                  <w:r w:rsidRPr="00A537B5">
                    <w:rPr>
                      <w:color w:val="auto"/>
                    </w:rPr>
                    <w:t xml:space="preserve">Der Versuch kann zur Einführung der Alkane genutzt werden, um durch die Verbrennung von Alkanen zu zeigen, dass diese aus Kohlenstoff und Wasserstoff bestehen. Als Vorwissen sollten die SuS  Kenntnis darüber haben, dass bei Verbrennungsreaktionen häufig Kohlenstoffdioxid und Wasser entstehen. </w:t>
                  </w:r>
                </w:p>
              </w:txbxContent>
            </v:textbox>
            <w10:wrap type="square"/>
          </v:shape>
        </w:pict>
      </w:r>
      <w:bookmarkStart w:id="1" w:name="_Toc363494428"/>
      <w:r>
        <w:t>V 1 – Qualitativer Nachweis von Kohlenstoff und Wasse</w:t>
      </w:r>
      <w:r>
        <w:t>r</w:t>
      </w:r>
      <w:r>
        <w:t>stoff</w:t>
      </w:r>
      <w:bookmarkEnd w:id="1"/>
    </w:p>
    <w:p w:rsidR="00E44EFC" w:rsidRDefault="00E44EFC" w:rsidP="00E44EFC"/>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44EFC" w:rsidRPr="009C5E28" w:rsidTr="00CE48AB">
        <w:tc>
          <w:tcPr>
            <w:tcW w:w="9322" w:type="dxa"/>
            <w:gridSpan w:val="9"/>
            <w:tcBorders>
              <w:bottom w:val="single" w:sz="4" w:space="0" w:color="4F81BD" w:themeColor="accent1"/>
            </w:tcBorders>
            <w:shd w:val="clear" w:color="auto" w:fill="4F81BD"/>
            <w:vAlign w:val="center"/>
          </w:tcPr>
          <w:p w:rsidR="00E44EFC" w:rsidRPr="009C5E28" w:rsidRDefault="00E44EFC" w:rsidP="00CE48AB">
            <w:pPr>
              <w:spacing w:after="0"/>
              <w:jc w:val="center"/>
              <w:rPr>
                <w:b/>
                <w:bCs/>
              </w:rPr>
            </w:pPr>
            <w:r w:rsidRPr="009C5E28">
              <w:rPr>
                <w:b/>
                <w:bCs/>
              </w:rPr>
              <w:t>Gefahrenstoffe</w:t>
            </w:r>
          </w:p>
        </w:tc>
      </w:tr>
      <w:tr w:rsidR="00E44EFC" w:rsidRPr="009C5E28" w:rsidTr="00CE48AB">
        <w:trPr>
          <w:trHeight w:val="437"/>
        </w:trPr>
        <w:tc>
          <w:tcPr>
            <w:tcW w:w="30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44EFC" w:rsidRPr="009C5E28" w:rsidRDefault="00E44EFC" w:rsidP="00CE48AB">
            <w:pPr>
              <w:spacing w:after="0" w:line="276" w:lineRule="auto"/>
              <w:jc w:val="center"/>
              <w:rPr>
                <w:b/>
                <w:bCs/>
              </w:rPr>
            </w:pPr>
            <w:r>
              <w:rPr>
                <w:sz w:val="20"/>
              </w:rPr>
              <w:t>Kupfersulfat (wasserfrei)</w:t>
            </w:r>
          </w:p>
        </w:tc>
        <w:tc>
          <w:tcPr>
            <w:tcW w:w="317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44EFC" w:rsidRPr="009C5E28" w:rsidRDefault="00E44EFC" w:rsidP="00CE48AB">
            <w:pPr>
              <w:spacing w:after="0"/>
              <w:jc w:val="center"/>
            </w:pPr>
            <w:r w:rsidRPr="009C5E28">
              <w:rPr>
                <w:sz w:val="20"/>
              </w:rPr>
              <w:t xml:space="preserve">H: </w:t>
            </w:r>
            <w:r>
              <w:t>302-315-319-410</w:t>
            </w:r>
          </w:p>
        </w:tc>
        <w:tc>
          <w:tcPr>
            <w:tcW w:w="31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44EFC" w:rsidRPr="009C5E28" w:rsidRDefault="00E44EFC" w:rsidP="00CE48AB">
            <w:pPr>
              <w:spacing w:after="0" w:line="240" w:lineRule="auto"/>
              <w:jc w:val="center"/>
            </w:pPr>
            <w:r w:rsidRPr="009C5E28">
              <w:rPr>
                <w:sz w:val="20"/>
              </w:rPr>
              <w:t xml:space="preserve">P: </w:t>
            </w:r>
            <w:r>
              <w:t>271-305+351+338-302+352</w:t>
            </w:r>
          </w:p>
        </w:tc>
      </w:tr>
      <w:tr w:rsidR="00E44EFC" w:rsidRPr="009C5E28" w:rsidTr="00CE48AB">
        <w:trPr>
          <w:trHeight w:val="434"/>
        </w:trPr>
        <w:tc>
          <w:tcPr>
            <w:tcW w:w="30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44EFC" w:rsidRPr="009C5E28" w:rsidRDefault="00E44EFC" w:rsidP="00CE48AB">
            <w:pPr>
              <w:spacing w:after="0" w:line="276" w:lineRule="auto"/>
              <w:jc w:val="center"/>
              <w:rPr>
                <w:bCs/>
                <w:sz w:val="20"/>
              </w:rPr>
            </w:pPr>
            <w:proofErr w:type="spellStart"/>
            <w:r>
              <w:rPr>
                <w:color w:val="auto"/>
                <w:sz w:val="20"/>
                <w:szCs w:val="20"/>
              </w:rPr>
              <w:t>Calciumhydroxid</w:t>
            </w:r>
            <w:proofErr w:type="spellEnd"/>
          </w:p>
        </w:tc>
        <w:tc>
          <w:tcPr>
            <w:tcW w:w="317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44EFC" w:rsidRPr="009C5E28" w:rsidRDefault="00E44EFC" w:rsidP="00CE48AB">
            <w:pPr>
              <w:pStyle w:val="Beschriftung"/>
              <w:spacing w:after="0"/>
              <w:jc w:val="center"/>
              <w:rPr>
                <w:sz w:val="20"/>
              </w:rPr>
            </w:pPr>
            <w:r w:rsidRPr="009C5E28">
              <w:rPr>
                <w:sz w:val="20"/>
              </w:rPr>
              <w:t>H</w:t>
            </w:r>
            <w:r w:rsidRPr="0006267D">
              <w:rPr>
                <w:sz w:val="20"/>
                <w:szCs w:val="20"/>
              </w:rPr>
              <w:t>: 315-318-335</w:t>
            </w:r>
          </w:p>
        </w:tc>
        <w:tc>
          <w:tcPr>
            <w:tcW w:w="31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44EFC" w:rsidRPr="0006267D" w:rsidRDefault="00E44EFC" w:rsidP="00CE48AB">
            <w:pPr>
              <w:pStyle w:val="Beschriftung"/>
              <w:spacing w:after="0"/>
              <w:jc w:val="center"/>
              <w:rPr>
                <w:sz w:val="20"/>
                <w:szCs w:val="20"/>
              </w:rPr>
            </w:pPr>
            <w:r w:rsidRPr="0006267D">
              <w:rPr>
                <w:sz w:val="20"/>
                <w:szCs w:val="20"/>
              </w:rPr>
              <w:t>P: 260-302+352-304+340-305+351+338-313</w:t>
            </w:r>
          </w:p>
        </w:tc>
      </w:tr>
      <w:tr w:rsidR="00E44EFC" w:rsidRPr="009C5E28" w:rsidTr="00CE48AB">
        <w:trPr>
          <w:trHeight w:val="434"/>
        </w:trPr>
        <w:tc>
          <w:tcPr>
            <w:tcW w:w="30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44EFC" w:rsidRDefault="00E44EFC" w:rsidP="00CE48AB">
            <w:pPr>
              <w:spacing w:after="0" w:line="276" w:lineRule="auto"/>
              <w:jc w:val="center"/>
              <w:rPr>
                <w:color w:val="auto"/>
                <w:sz w:val="20"/>
                <w:szCs w:val="20"/>
              </w:rPr>
            </w:pPr>
            <w:r>
              <w:rPr>
                <w:color w:val="auto"/>
                <w:sz w:val="20"/>
                <w:szCs w:val="20"/>
              </w:rPr>
              <w:t>Petroleumbenzin</w:t>
            </w:r>
          </w:p>
        </w:tc>
        <w:tc>
          <w:tcPr>
            <w:tcW w:w="317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44EFC" w:rsidRPr="009C5E28" w:rsidRDefault="00E44EFC" w:rsidP="00CE48AB">
            <w:pPr>
              <w:pStyle w:val="Beschriftung"/>
              <w:spacing w:after="0"/>
              <w:jc w:val="center"/>
              <w:rPr>
                <w:sz w:val="20"/>
              </w:rPr>
            </w:pPr>
            <w:r>
              <w:rPr>
                <w:sz w:val="20"/>
              </w:rPr>
              <w:t>H: 226-304</w:t>
            </w:r>
          </w:p>
        </w:tc>
        <w:tc>
          <w:tcPr>
            <w:tcW w:w="31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44EFC" w:rsidRPr="009C5E28" w:rsidRDefault="00E44EFC" w:rsidP="00CE48AB">
            <w:pPr>
              <w:pStyle w:val="Beschriftung"/>
              <w:spacing w:after="0"/>
              <w:jc w:val="center"/>
              <w:rPr>
                <w:sz w:val="20"/>
              </w:rPr>
            </w:pPr>
            <w:r>
              <w:rPr>
                <w:sz w:val="20"/>
              </w:rPr>
              <w:t>P: 210-301+340-331</w:t>
            </w:r>
          </w:p>
        </w:tc>
      </w:tr>
      <w:tr w:rsidR="00E44EFC" w:rsidRPr="009C5E28" w:rsidTr="00CE48AB">
        <w:trPr>
          <w:trHeight w:val="434"/>
        </w:trPr>
        <w:tc>
          <w:tcPr>
            <w:tcW w:w="30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44EFC" w:rsidRDefault="00E44EFC" w:rsidP="00CE48AB">
            <w:pPr>
              <w:spacing w:after="0" w:line="276" w:lineRule="auto"/>
              <w:jc w:val="center"/>
              <w:rPr>
                <w:color w:val="auto"/>
                <w:sz w:val="20"/>
                <w:szCs w:val="20"/>
              </w:rPr>
            </w:pPr>
            <w:r>
              <w:rPr>
                <w:color w:val="auto"/>
                <w:sz w:val="20"/>
                <w:szCs w:val="20"/>
              </w:rPr>
              <w:t>Destilliertes Wasser</w:t>
            </w:r>
          </w:p>
        </w:tc>
        <w:tc>
          <w:tcPr>
            <w:tcW w:w="317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44EFC" w:rsidRPr="009C5E28" w:rsidRDefault="00E44EFC" w:rsidP="00CE48AB">
            <w:pPr>
              <w:pStyle w:val="Beschriftung"/>
              <w:spacing w:after="0"/>
              <w:jc w:val="center"/>
              <w:rPr>
                <w:sz w:val="20"/>
              </w:rPr>
            </w:pPr>
            <w:r>
              <w:rPr>
                <w:sz w:val="20"/>
              </w:rPr>
              <w:t>H: -</w:t>
            </w:r>
          </w:p>
        </w:tc>
        <w:tc>
          <w:tcPr>
            <w:tcW w:w="31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44EFC" w:rsidRPr="009C5E28" w:rsidRDefault="00E44EFC" w:rsidP="00CE48AB">
            <w:pPr>
              <w:pStyle w:val="Beschriftung"/>
              <w:spacing w:after="0"/>
              <w:jc w:val="center"/>
              <w:rPr>
                <w:sz w:val="20"/>
              </w:rPr>
            </w:pPr>
            <w:r>
              <w:rPr>
                <w:sz w:val="20"/>
              </w:rPr>
              <w:t>P: -</w:t>
            </w:r>
          </w:p>
        </w:tc>
      </w:tr>
      <w:tr w:rsidR="00E44EFC" w:rsidRPr="009C5E28" w:rsidTr="00CE48AB">
        <w:trPr>
          <w:trHeight w:val="434"/>
        </w:trPr>
        <w:tc>
          <w:tcPr>
            <w:tcW w:w="30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44EFC" w:rsidRDefault="00E44EFC" w:rsidP="00CE48AB">
            <w:pPr>
              <w:spacing w:after="0" w:line="276" w:lineRule="auto"/>
              <w:jc w:val="center"/>
              <w:rPr>
                <w:color w:val="auto"/>
                <w:sz w:val="20"/>
                <w:szCs w:val="20"/>
              </w:rPr>
            </w:pPr>
            <w:r>
              <w:rPr>
                <w:color w:val="auto"/>
                <w:sz w:val="20"/>
                <w:szCs w:val="20"/>
              </w:rPr>
              <w:t>Eis</w:t>
            </w:r>
          </w:p>
        </w:tc>
        <w:tc>
          <w:tcPr>
            <w:tcW w:w="317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44EFC" w:rsidRPr="009C5E28" w:rsidRDefault="00E44EFC" w:rsidP="00CE48AB">
            <w:pPr>
              <w:pStyle w:val="Beschriftung"/>
              <w:spacing w:after="0"/>
              <w:jc w:val="center"/>
              <w:rPr>
                <w:sz w:val="20"/>
              </w:rPr>
            </w:pPr>
            <w:r>
              <w:rPr>
                <w:sz w:val="20"/>
              </w:rPr>
              <w:t>H: -</w:t>
            </w:r>
          </w:p>
        </w:tc>
        <w:tc>
          <w:tcPr>
            <w:tcW w:w="31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44EFC" w:rsidRPr="009C5E28" w:rsidRDefault="00E44EFC" w:rsidP="00CE48AB">
            <w:pPr>
              <w:pStyle w:val="Beschriftung"/>
              <w:spacing w:after="0"/>
              <w:jc w:val="center"/>
              <w:rPr>
                <w:sz w:val="20"/>
              </w:rPr>
            </w:pPr>
            <w:r>
              <w:rPr>
                <w:sz w:val="20"/>
              </w:rPr>
              <w:t>P: -</w:t>
            </w:r>
          </w:p>
        </w:tc>
      </w:tr>
      <w:tr w:rsidR="00E44EFC" w:rsidRPr="009C5E28" w:rsidTr="00CE48AB">
        <w:tc>
          <w:tcPr>
            <w:tcW w:w="1009" w:type="dxa"/>
            <w:tcBorders>
              <w:top w:val="single" w:sz="4" w:space="0" w:color="4F81BD" w:themeColor="accent1"/>
              <w:left w:val="single" w:sz="8" w:space="0" w:color="4F81BD"/>
              <w:bottom w:val="single" w:sz="8" w:space="0" w:color="4F81BD"/>
            </w:tcBorders>
            <w:shd w:val="clear" w:color="auto" w:fill="auto"/>
            <w:vAlign w:val="center"/>
          </w:tcPr>
          <w:p w:rsidR="00E44EFC" w:rsidRPr="009C5E28" w:rsidRDefault="00E44EFC" w:rsidP="00CE48AB">
            <w:pPr>
              <w:spacing w:after="0"/>
              <w:jc w:val="center"/>
              <w:rPr>
                <w:b/>
                <w:bCs/>
              </w:rPr>
            </w:pPr>
            <w:r>
              <w:rPr>
                <w:b/>
                <w:noProof/>
                <w:lang w:eastAsia="de-DE"/>
              </w:rPr>
              <w:drawing>
                <wp:inline distT="0" distB="0" distL="0" distR="0">
                  <wp:extent cx="504190" cy="504190"/>
                  <wp:effectExtent l="19050" t="0" r="0" b="0"/>
                  <wp:docPr id="19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rsidR="00E44EFC" w:rsidRPr="009C5E28" w:rsidRDefault="00E44EFC" w:rsidP="00CE48AB">
            <w:pPr>
              <w:spacing w:after="0"/>
              <w:jc w:val="center"/>
            </w:pPr>
            <w:r>
              <w:rPr>
                <w:noProof/>
                <w:lang w:eastAsia="de-DE"/>
              </w:rPr>
              <w:drawing>
                <wp:inline distT="0" distB="0" distL="0" distR="0">
                  <wp:extent cx="504190" cy="504190"/>
                  <wp:effectExtent l="0" t="0" r="0" b="0"/>
                  <wp:docPr id="19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rsidR="00E44EFC" w:rsidRPr="009C5E28" w:rsidRDefault="00E44EFC" w:rsidP="00CE48AB">
            <w:pPr>
              <w:spacing w:after="0"/>
              <w:jc w:val="center"/>
            </w:pPr>
            <w:r>
              <w:rPr>
                <w:noProof/>
                <w:lang w:eastAsia="de-DE"/>
              </w:rPr>
              <w:drawing>
                <wp:inline distT="0" distB="0" distL="0" distR="0">
                  <wp:extent cx="517585" cy="517585"/>
                  <wp:effectExtent l="19050" t="0" r="0" b="0"/>
                  <wp:docPr id="197" name="Bild 10" descr="C:\Users\Anne\AppData\Local\Temp\Rar$DI05.476\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e\AppData\Local\Temp\Rar$DI05.476\Brennbar.png"/>
                          <pic:cNvPicPr>
                            <a:picLocks noChangeAspect="1" noChangeArrowheads="1"/>
                          </pic:cNvPicPr>
                        </pic:nvPicPr>
                        <pic:blipFill>
                          <a:blip r:embed="rId10"/>
                          <a:srcRect/>
                          <a:stretch>
                            <a:fillRect/>
                          </a:stretch>
                        </pic:blipFill>
                        <pic:spPr bwMode="auto">
                          <a:xfrm>
                            <a:off x="0" y="0"/>
                            <a:ext cx="523451" cy="523451"/>
                          </a:xfrm>
                          <a:prstGeom prst="rect">
                            <a:avLst/>
                          </a:prstGeom>
                          <a:noFill/>
                          <a:ln w="9525">
                            <a:noFill/>
                            <a:miter lim="800000"/>
                            <a:headEnd/>
                            <a:tailEnd/>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rsidR="00E44EFC" w:rsidRPr="009C5E28" w:rsidRDefault="00E44EFC" w:rsidP="00CE48AB">
            <w:pPr>
              <w:spacing w:after="0"/>
              <w:jc w:val="center"/>
            </w:pPr>
            <w:r>
              <w:rPr>
                <w:noProof/>
                <w:lang w:eastAsia="de-DE"/>
              </w:rPr>
              <w:drawing>
                <wp:inline distT="0" distB="0" distL="0" distR="0">
                  <wp:extent cx="504190" cy="504190"/>
                  <wp:effectExtent l="0" t="0" r="0" b="0"/>
                  <wp:docPr id="19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4" w:space="0" w:color="4F81BD" w:themeColor="accent1"/>
              <w:bottom w:val="single" w:sz="8" w:space="0" w:color="4F81BD"/>
            </w:tcBorders>
            <w:shd w:val="clear" w:color="auto" w:fill="auto"/>
            <w:vAlign w:val="center"/>
          </w:tcPr>
          <w:p w:rsidR="00E44EFC" w:rsidRPr="009C5E28" w:rsidRDefault="00E44EFC" w:rsidP="00CE48AB">
            <w:pPr>
              <w:spacing w:after="0"/>
              <w:jc w:val="center"/>
            </w:pPr>
            <w:r>
              <w:rPr>
                <w:noProof/>
                <w:lang w:eastAsia="de-DE"/>
              </w:rPr>
              <w:drawing>
                <wp:inline distT="0" distB="0" distL="0" distR="0">
                  <wp:extent cx="504190" cy="504190"/>
                  <wp:effectExtent l="0" t="0" r="0" b="0"/>
                  <wp:docPr id="19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4" w:space="0" w:color="4F81BD" w:themeColor="accent1"/>
              <w:bottom w:val="single" w:sz="8" w:space="0" w:color="4F81BD"/>
            </w:tcBorders>
            <w:shd w:val="clear" w:color="auto" w:fill="auto"/>
            <w:vAlign w:val="center"/>
          </w:tcPr>
          <w:p w:rsidR="00E44EFC" w:rsidRPr="009C5E28" w:rsidRDefault="00E44EFC" w:rsidP="00CE48AB">
            <w:pPr>
              <w:spacing w:after="0"/>
              <w:jc w:val="center"/>
            </w:pPr>
            <w:r>
              <w:rPr>
                <w:noProof/>
                <w:lang w:eastAsia="de-DE"/>
              </w:rPr>
              <w:drawing>
                <wp:inline distT="0" distB="0" distL="0" distR="0">
                  <wp:extent cx="474453" cy="474453"/>
                  <wp:effectExtent l="19050" t="0" r="1797" b="0"/>
                  <wp:docPr id="200" name="Bild 11" descr="C:\Users\Anne\AppData\Local\Temp\Rar$DI09.058\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AppData\Local\Temp\Rar$DI09.058\Gesundheitsgefahr.png"/>
                          <pic:cNvPicPr>
                            <a:picLocks noChangeAspect="1" noChangeArrowheads="1"/>
                          </pic:cNvPicPr>
                        </pic:nvPicPr>
                        <pic:blipFill>
                          <a:blip r:embed="rId13"/>
                          <a:srcRect/>
                          <a:stretch>
                            <a:fillRect/>
                          </a:stretch>
                        </pic:blipFill>
                        <pic:spPr bwMode="auto">
                          <a:xfrm>
                            <a:off x="0" y="0"/>
                            <a:ext cx="479610" cy="479610"/>
                          </a:xfrm>
                          <a:prstGeom prst="rect">
                            <a:avLst/>
                          </a:prstGeom>
                          <a:noFill/>
                          <a:ln w="9525">
                            <a:noFill/>
                            <a:miter lim="800000"/>
                            <a:headEnd/>
                            <a:tailEnd/>
                          </a:ln>
                        </pic:spPr>
                      </pic:pic>
                    </a:graphicData>
                  </a:graphic>
                </wp:inline>
              </w:drawing>
            </w:r>
          </w:p>
        </w:tc>
        <w:tc>
          <w:tcPr>
            <w:tcW w:w="975" w:type="dxa"/>
            <w:tcBorders>
              <w:top w:val="single" w:sz="4" w:space="0" w:color="4F81BD" w:themeColor="accent1"/>
              <w:bottom w:val="single" w:sz="8" w:space="0" w:color="4F81BD"/>
            </w:tcBorders>
            <w:shd w:val="clear" w:color="auto" w:fill="auto"/>
            <w:vAlign w:val="center"/>
          </w:tcPr>
          <w:p w:rsidR="00E44EFC" w:rsidRPr="009C5E28" w:rsidRDefault="00E44EFC" w:rsidP="00CE48AB">
            <w:pPr>
              <w:spacing w:after="0"/>
              <w:jc w:val="center"/>
            </w:pPr>
            <w:r>
              <w:rPr>
                <w:noProof/>
                <w:lang w:eastAsia="de-DE"/>
              </w:rPr>
              <w:drawing>
                <wp:inline distT="0" distB="0" distL="0" distR="0">
                  <wp:extent cx="504190" cy="504190"/>
                  <wp:effectExtent l="0" t="0" r="0" b="0"/>
                  <wp:docPr id="20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rsidR="00E44EFC" w:rsidRPr="009C5E28" w:rsidRDefault="00E44EFC" w:rsidP="00CE48AB">
            <w:pPr>
              <w:spacing w:after="0"/>
              <w:jc w:val="center"/>
            </w:pPr>
            <w:r>
              <w:rPr>
                <w:noProof/>
                <w:lang w:eastAsia="de-DE"/>
              </w:rPr>
              <w:drawing>
                <wp:inline distT="0" distB="0" distL="0" distR="0">
                  <wp:extent cx="511175" cy="511175"/>
                  <wp:effectExtent l="0" t="0" r="0" b="0"/>
                  <wp:docPr id="20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4" w:space="0" w:color="4F81BD" w:themeColor="accent1"/>
              <w:bottom w:val="single" w:sz="8" w:space="0" w:color="4F81BD"/>
              <w:right w:val="single" w:sz="8" w:space="0" w:color="4F81BD"/>
            </w:tcBorders>
            <w:shd w:val="clear" w:color="auto" w:fill="auto"/>
            <w:vAlign w:val="center"/>
          </w:tcPr>
          <w:p w:rsidR="00E44EFC" w:rsidRPr="009C5E28" w:rsidRDefault="00E44EFC" w:rsidP="00CE48AB">
            <w:pPr>
              <w:spacing w:after="0"/>
              <w:jc w:val="center"/>
            </w:pPr>
            <w:r>
              <w:rPr>
                <w:noProof/>
                <w:lang w:eastAsia="de-DE"/>
              </w:rPr>
              <w:drawing>
                <wp:inline distT="0" distB="0" distL="0" distR="0">
                  <wp:extent cx="526212" cy="526212"/>
                  <wp:effectExtent l="0" t="0" r="7188" b="0"/>
                  <wp:docPr id="203" name="Bild 9" descr="C:\Users\Anne\AppData\Local\Temp\Rar$DI01.577\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e\AppData\Local\Temp\Rar$DI01.577\Umweltgefahr.png"/>
                          <pic:cNvPicPr>
                            <a:picLocks noChangeAspect="1" noChangeArrowheads="1"/>
                          </pic:cNvPicPr>
                        </pic:nvPicPr>
                        <pic:blipFill>
                          <a:blip r:embed="rId16"/>
                          <a:srcRect/>
                          <a:stretch>
                            <a:fillRect/>
                          </a:stretch>
                        </pic:blipFill>
                        <pic:spPr bwMode="auto">
                          <a:xfrm>
                            <a:off x="0" y="0"/>
                            <a:ext cx="532936" cy="532936"/>
                          </a:xfrm>
                          <a:prstGeom prst="rect">
                            <a:avLst/>
                          </a:prstGeom>
                          <a:noFill/>
                          <a:ln w="9525">
                            <a:noFill/>
                            <a:miter lim="800000"/>
                            <a:headEnd/>
                            <a:tailEnd/>
                          </a:ln>
                        </pic:spPr>
                      </pic:pic>
                    </a:graphicData>
                  </a:graphic>
                </wp:inline>
              </w:drawing>
            </w:r>
          </w:p>
        </w:tc>
      </w:tr>
    </w:tbl>
    <w:p w:rsidR="00E44EFC" w:rsidRDefault="00E44EFC" w:rsidP="00E44EFC">
      <w:pPr>
        <w:tabs>
          <w:tab w:val="left" w:pos="1701"/>
          <w:tab w:val="left" w:pos="1985"/>
        </w:tabs>
        <w:ind w:left="1980" w:hanging="1980"/>
      </w:pPr>
    </w:p>
    <w:p w:rsidR="00E44EFC" w:rsidRDefault="00E44EFC" w:rsidP="00E44EFC">
      <w:pPr>
        <w:tabs>
          <w:tab w:val="left" w:pos="1701"/>
          <w:tab w:val="left" w:pos="1985"/>
        </w:tabs>
        <w:ind w:left="1980" w:hanging="1980"/>
      </w:pPr>
      <w:r>
        <w:t xml:space="preserve">Materialien: </w:t>
      </w:r>
      <w:r>
        <w:tab/>
      </w:r>
      <w:r>
        <w:tab/>
      </w:r>
      <w:r>
        <w:tab/>
      </w:r>
      <w:r>
        <w:tab/>
        <w:t>Trichter, U-Rohr, Waschflasche, Vakuumpumpe, Schläuche, Becherglas</w:t>
      </w:r>
    </w:p>
    <w:p w:rsidR="00E44EFC" w:rsidRDefault="00E44EFC" w:rsidP="00E44EFC">
      <w:pPr>
        <w:tabs>
          <w:tab w:val="left" w:pos="1701"/>
          <w:tab w:val="left" w:pos="1985"/>
        </w:tabs>
        <w:ind w:left="1980" w:hanging="1980"/>
      </w:pPr>
      <w:r>
        <w:t>Chemikalien:</w:t>
      </w:r>
      <w:r>
        <w:tab/>
      </w:r>
      <w:r>
        <w:tab/>
      </w:r>
      <w:r>
        <w:tab/>
      </w:r>
      <w:r>
        <w:tab/>
        <w:t xml:space="preserve">Petroleumbenzin, Kupfersulfat, </w:t>
      </w:r>
      <w:proofErr w:type="spellStart"/>
      <w:r>
        <w:t>Calciumhydroxid</w:t>
      </w:r>
      <w:proofErr w:type="spellEnd"/>
      <w:r>
        <w:t>, destilliertes Wasser, Eis</w:t>
      </w:r>
    </w:p>
    <w:p w:rsidR="00E44EFC" w:rsidRDefault="00E44EFC" w:rsidP="00E44EFC">
      <w:pPr>
        <w:ind w:left="2124" w:hanging="2124"/>
      </w:pPr>
      <w:r>
        <w:t xml:space="preserve">Durchführung: </w:t>
      </w:r>
      <w:r>
        <w:tab/>
        <w:t>Die Versuchsapparatur wird gemäß der Abbildung aufgebaut. In die Po</w:t>
      </w:r>
      <w:r>
        <w:t>r</w:t>
      </w:r>
      <w:r>
        <w:t xml:space="preserve">zellanschale wird 1 </w:t>
      </w:r>
      <w:proofErr w:type="spellStart"/>
      <w:r>
        <w:t>mL</w:t>
      </w:r>
      <w:proofErr w:type="spellEnd"/>
      <w:r>
        <w:t xml:space="preserve"> Petroleumbenzin </w:t>
      </w:r>
      <w:proofErr w:type="spellStart"/>
      <w:r>
        <w:t>pipettiert</w:t>
      </w:r>
      <w:proofErr w:type="spellEnd"/>
      <w:r>
        <w:t xml:space="preserve"> und unter dem Tric</w:t>
      </w:r>
      <w:r>
        <w:t>h</w:t>
      </w:r>
      <w:r>
        <w:t xml:space="preserve">ter entzündet. Die Verbrennungsgase werden mit einer Vakuumpumpe durch die Apparatur gesogen, an dem Kupfersulfat im U-Rohr vorbei und in die </w:t>
      </w:r>
      <w:proofErr w:type="spellStart"/>
      <w:r>
        <w:t>Calciumhydroxidlösung</w:t>
      </w:r>
      <w:proofErr w:type="spellEnd"/>
      <w:r>
        <w:t xml:space="preserve"> geleitet. Zum Vergleich werden etwas Wasser und Benzin mit Kupfersulfat versetzt.</w:t>
      </w:r>
    </w:p>
    <w:p w:rsidR="00E44EFC" w:rsidRDefault="00E44EFC" w:rsidP="00E44EFC">
      <w:pPr>
        <w:tabs>
          <w:tab w:val="left" w:pos="1701"/>
          <w:tab w:val="left" w:pos="1985"/>
        </w:tabs>
        <w:ind w:left="2124" w:hanging="2124"/>
      </w:pPr>
      <w:r>
        <w:t>Beobachtung:</w:t>
      </w:r>
      <w:r>
        <w:tab/>
      </w:r>
      <w:r>
        <w:tab/>
      </w:r>
      <w:r>
        <w:tab/>
        <w:t xml:space="preserve">Das Petroleumbenzin verbrennt mit stark rußender Flamme. Die </w:t>
      </w:r>
      <w:proofErr w:type="spellStart"/>
      <w:r>
        <w:t>Calciumhydroxidlösung</w:t>
      </w:r>
      <w:proofErr w:type="spellEnd"/>
      <w:r>
        <w:t xml:space="preserve"> wird trüb und das Kupfersulfat färbt sich blau.</w:t>
      </w:r>
    </w:p>
    <w:p w:rsidR="00E44EFC" w:rsidRDefault="00E44EFC" w:rsidP="00E44EFC">
      <w:pPr>
        <w:ind w:left="2124" w:hanging="2124"/>
        <w:jc w:val="center"/>
      </w:pPr>
      <w:r>
        <w:rPr>
          <w:noProof/>
          <w:lang w:eastAsia="de-DE"/>
        </w:rPr>
        <w:lastRenderedPageBreak/>
        <w:drawing>
          <wp:inline distT="0" distB="0" distL="0" distR="0">
            <wp:extent cx="4844459" cy="2995267"/>
            <wp:effectExtent l="57150" t="19050" r="13291" b="0"/>
            <wp:docPr id="204" name="Bild 8" descr="F:\DCIM\102_FUJI\DSCF2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CIM\102_FUJI\DSCF2629.JPG"/>
                    <pic:cNvPicPr>
                      <a:picLocks noChangeAspect="1" noChangeArrowheads="1"/>
                    </pic:cNvPicPr>
                  </pic:nvPicPr>
                  <pic:blipFill>
                    <a:blip r:embed="rId17"/>
                    <a:srcRect/>
                    <a:stretch>
                      <a:fillRect/>
                    </a:stretch>
                  </pic:blipFill>
                  <pic:spPr bwMode="auto">
                    <a:xfrm flipH="1">
                      <a:off x="0" y="0"/>
                      <a:ext cx="4849446" cy="2998350"/>
                    </a:xfrm>
                    <a:prstGeom prst="rect">
                      <a:avLst/>
                    </a:prstGeom>
                    <a:noFill/>
                    <a:ln w="9525">
                      <a:noFill/>
                      <a:miter lim="800000"/>
                      <a:headEnd/>
                      <a:tailEnd/>
                    </a:ln>
                    <a:scene3d>
                      <a:camera prst="orthographicFront">
                        <a:rot lat="0" lon="21594000" rev="0"/>
                      </a:camera>
                      <a:lightRig rig="threePt" dir="t"/>
                    </a:scene3d>
                  </pic:spPr>
                </pic:pic>
              </a:graphicData>
            </a:graphic>
          </wp:inline>
        </w:drawing>
      </w:r>
    </w:p>
    <w:p w:rsidR="00E44EFC" w:rsidRDefault="00E44EFC" w:rsidP="00E44EFC">
      <w:pPr>
        <w:pStyle w:val="Beschriftung"/>
        <w:jc w:val="left"/>
      </w:pPr>
      <w:r>
        <w:t xml:space="preserve">Abb. </w:t>
      </w:r>
      <w:fldSimple w:instr=" SEQ Abb. \* ARABIC ">
        <w:r>
          <w:rPr>
            <w:noProof/>
          </w:rPr>
          <w:t>1</w:t>
        </w:r>
      </w:fldSimple>
      <w:r>
        <w:t xml:space="preserve"> – Nachweis von Kohlenstoff und Wasserstoff durch Verbrennung von Petroleumbenzin</w:t>
      </w:r>
      <w:r>
        <w:rPr>
          <w:noProof/>
        </w:rPr>
        <w:t>.</w:t>
      </w:r>
    </w:p>
    <w:p w:rsidR="00E44EFC" w:rsidRDefault="00E44EFC" w:rsidP="00E44EFC">
      <w:pPr>
        <w:ind w:left="2124" w:hanging="2124"/>
      </w:pPr>
      <w:r>
        <w:t>Deutung:</w:t>
      </w:r>
      <w:r>
        <w:tab/>
        <w:t xml:space="preserve">Bei der Verbrennung von Kohlenwasserstoffen entstehen Wasser und Kohlenstoffdioxid. </w:t>
      </w:r>
    </w:p>
    <w:p w:rsidR="00E44EFC" w:rsidRPr="009410B7" w:rsidRDefault="00E44EFC" w:rsidP="00E44EFC">
      <w:pPr>
        <w:ind w:left="2124"/>
        <w:rPr>
          <w:vertAlign w:val="subscript"/>
          <w:lang w:val="en-US"/>
        </w:rPr>
      </w:pPr>
      <w:proofErr w:type="spellStart"/>
      <w:r w:rsidRPr="000B45BA">
        <w:rPr>
          <w:lang w:val="en-US"/>
        </w:rPr>
        <w:t>C</w:t>
      </w:r>
      <w:r w:rsidRPr="000B45BA">
        <w:rPr>
          <w:vertAlign w:val="subscript"/>
          <w:lang w:val="en-US"/>
        </w:rPr>
        <w:t>x</w:t>
      </w:r>
      <w:r w:rsidRPr="000B45BA">
        <w:rPr>
          <w:lang w:val="en-US"/>
        </w:rPr>
        <w:t>H</w:t>
      </w:r>
      <w:r w:rsidRPr="000B45BA">
        <w:rPr>
          <w:vertAlign w:val="subscript"/>
          <w:lang w:val="en-US"/>
        </w:rPr>
        <w:t>y</w:t>
      </w:r>
      <w:proofErr w:type="spellEnd"/>
      <w:r>
        <w:rPr>
          <w:vertAlign w:val="subscript"/>
          <w:lang w:val="en-US"/>
        </w:rPr>
        <w:t xml:space="preserve"> (g)</w:t>
      </w:r>
      <w:r w:rsidRPr="000B45BA">
        <w:rPr>
          <w:lang w:val="en-US"/>
        </w:rPr>
        <w:t xml:space="preserve"> + (x + y/4) O</w:t>
      </w:r>
      <w:r w:rsidRPr="000B45BA">
        <w:rPr>
          <w:vertAlign w:val="subscript"/>
          <w:lang w:val="en-US"/>
        </w:rPr>
        <w:t>2</w:t>
      </w:r>
      <w:r>
        <w:rPr>
          <w:vertAlign w:val="subscript"/>
          <w:lang w:val="en-US"/>
        </w:rPr>
        <w:t xml:space="preserve"> (g)</w:t>
      </w:r>
      <w:r w:rsidRPr="000B45BA">
        <w:rPr>
          <w:lang w:val="en-US"/>
        </w:rPr>
        <w:t xml:space="preserve"> </w:t>
      </w:r>
      <w:r>
        <w:sym w:font="Wingdings" w:char="F0E0"/>
      </w:r>
      <w:r w:rsidRPr="000B45BA">
        <w:rPr>
          <w:lang w:val="en-US"/>
        </w:rPr>
        <w:t xml:space="preserve"> x CO</w:t>
      </w:r>
      <w:r w:rsidRPr="000B45BA">
        <w:rPr>
          <w:vertAlign w:val="subscript"/>
          <w:lang w:val="en-US"/>
        </w:rPr>
        <w:t>2</w:t>
      </w:r>
      <w:r>
        <w:rPr>
          <w:vertAlign w:val="subscript"/>
          <w:lang w:val="en-US"/>
        </w:rPr>
        <w:t xml:space="preserve"> (g</w:t>
      </w:r>
      <w:proofErr w:type="gramStart"/>
      <w:r>
        <w:rPr>
          <w:vertAlign w:val="subscript"/>
          <w:lang w:val="en-US"/>
        </w:rPr>
        <w:t xml:space="preserve">) </w:t>
      </w:r>
      <w:r>
        <w:rPr>
          <w:lang w:val="en-US"/>
        </w:rPr>
        <w:t xml:space="preserve"> +</w:t>
      </w:r>
      <w:proofErr w:type="gramEnd"/>
      <w:r>
        <w:rPr>
          <w:lang w:val="en-US"/>
        </w:rPr>
        <w:t xml:space="preserve"> y/2 H</w:t>
      </w:r>
      <w:r>
        <w:rPr>
          <w:vertAlign w:val="subscript"/>
          <w:lang w:val="en-US"/>
        </w:rPr>
        <w:t>2</w:t>
      </w:r>
      <w:r>
        <w:rPr>
          <w:lang w:val="en-US"/>
        </w:rPr>
        <w:t>O</w:t>
      </w:r>
      <w:r>
        <w:rPr>
          <w:vertAlign w:val="subscript"/>
          <w:lang w:val="en-US"/>
        </w:rPr>
        <w:t>(g)</w:t>
      </w:r>
    </w:p>
    <w:p w:rsidR="00E44EFC" w:rsidRDefault="00E44EFC" w:rsidP="00E44EFC">
      <w:pPr>
        <w:ind w:left="2124"/>
      </w:pPr>
      <w:r>
        <w:t xml:space="preserve">Beim Einleiten von Kohlenstoffdioxid in </w:t>
      </w:r>
      <w:proofErr w:type="spellStart"/>
      <w:r>
        <w:t>Calciumhydroxid</w:t>
      </w:r>
      <w:proofErr w:type="spellEnd"/>
      <w:r>
        <w:t xml:space="preserve">-Lösung bildet sich </w:t>
      </w:r>
      <w:proofErr w:type="spellStart"/>
      <w:r>
        <w:t>Calciumcarbonat</w:t>
      </w:r>
      <w:proofErr w:type="spellEnd"/>
      <w:r>
        <w:t xml:space="preserve"> als schwerlöslicher Niederschlag, der durch einen Überschuss an Kohlenstoffdioxid wieder als </w:t>
      </w:r>
      <w:proofErr w:type="spellStart"/>
      <w:r>
        <w:t>Calciumhydrogencarbonat</w:t>
      </w:r>
      <w:proofErr w:type="spellEnd"/>
      <w:r>
        <w:t xml:space="preserve"> in Lösung geht.</w:t>
      </w:r>
    </w:p>
    <w:p w:rsidR="00E44EFC" w:rsidRDefault="00E44EFC" w:rsidP="00E44EFC">
      <w:pPr>
        <w:ind w:left="2124"/>
        <w:rPr>
          <w:vertAlign w:val="subscript"/>
          <w:lang w:val="en-US"/>
        </w:rPr>
      </w:pPr>
      <w:proofErr w:type="gramStart"/>
      <w:r w:rsidRPr="003C3829">
        <w:rPr>
          <w:lang w:val="en-US"/>
        </w:rPr>
        <w:t>Ca(</w:t>
      </w:r>
      <w:proofErr w:type="gramEnd"/>
      <w:r w:rsidRPr="003C3829">
        <w:rPr>
          <w:lang w:val="en-US"/>
        </w:rPr>
        <w:t>OH)</w:t>
      </w:r>
      <w:r w:rsidRPr="003C3829">
        <w:rPr>
          <w:vertAlign w:val="subscript"/>
          <w:lang w:val="en-US"/>
        </w:rPr>
        <w:t>2 (</w:t>
      </w:r>
      <w:proofErr w:type="spellStart"/>
      <w:r w:rsidRPr="003C3829">
        <w:rPr>
          <w:vertAlign w:val="subscript"/>
          <w:lang w:val="en-US"/>
        </w:rPr>
        <w:t>aq</w:t>
      </w:r>
      <w:proofErr w:type="spellEnd"/>
      <w:r w:rsidRPr="003C3829">
        <w:rPr>
          <w:vertAlign w:val="subscript"/>
          <w:lang w:val="en-US"/>
        </w:rPr>
        <w:t xml:space="preserve">) </w:t>
      </w:r>
      <w:r w:rsidRPr="003C3829">
        <w:rPr>
          <w:lang w:val="en-US"/>
        </w:rPr>
        <w:t>+ CO</w:t>
      </w:r>
      <w:r w:rsidRPr="003C3829">
        <w:rPr>
          <w:vertAlign w:val="subscript"/>
          <w:lang w:val="en-US"/>
        </w:rPr>
        <w:t>2 (g)</w:t>
      </w:r>
      <w:r w:rsidRPr="003C3829">
        <w:rPr>
          <w:lang w:val="en-US"/>
        </w:rPr>
        <w:t xml:space="preserve"> </w:t>
      </w:r>
      <w:r>
        <w:sym w:font="Wingdings" w:char="F0E0"/>
      </w:r>
      <w:r w:rsidRPr="003C3829">
        <w:rPr>
          <w:lang w:val="en-US"/>
        </w:rPr>
        <w:t xml:space="preserve"> CaCO</w:t>
      </w:r>
      <w:r>
        <w:rPr>
          <w:vertAlign w:val="subscript"/>
          <w:lang w:val="en-US"/>
        </w:rPr>
        <w:t>3</w:t>
      </w:r>
      <w:r>
        <w:rPr>
          <w:lang w:val="en-US"/>
        </w:rPr>
        <w:t xml:space="preserve"> </w:t>
      </w:r>
      <w:r>
        <w:rPr>
          <w:vertAlign w:val="subscript"/>
          <w:lang w:val="en-US"/>
        </w:rPr>
        <w:t>(s)</w:t>
      </w:r>
      <w:r>
        <w:rPr>
          <w:lang w:val="en-US"/>
        </w:rPr>
        <w:t xml:space="preserve"> + H</w:t>
      </w:r>
      <w:r>
        <w:rPr>
          <w:vertAlign w:val="subscript"/>
          <w:lang w:val="en-US"/>
        </w:rPr>
        <w:t>2</w:t>
      </w:r>
      <w:r>
        <w:rPr>
          <w:lang w:val="en-US"/>
        </w:rPr>
        <w:t>O</w:t>
      </w:r>
      <w:r>
        <w:rPr>
          <w:vertAlign w:val="subscript"/>
          <w:lang w:val="en-US"/>
        </w:rPr>
        <w:t xml:space="preserve"> (l)</w:t>
      </w:r>
    </w:p>
    <w:p w:rsidR="00E44EFC" w:rsidRDefault="00E44EFC" w:rsidP="00E44EFC">
      <w:pPr>
        <w:ind w:left="2124"/>
      </w:pPr>
      <w:r w:rsidRPr="0031795C">
        <w:t>Kupfersulfat reagiert mit W</w:t>
      </w:r>
      <w:r>
        <w:t>asser zu dem blauen Kupfersulfat-</w:t>
      </w:r>
      <w:proofErr w:type="spellStart"/>
      <w:r>
        <w:t>pentahydrat</w:t>
      </w:r>
      <w:proofErr w:type="spellEnd"/>
      <w:r>
        <w:t>.</w:t>
      </w:r>
    </w:p>
    <w:p w:rsidR="00E44EFC" w:rsidRDefault="00E44EFC" w:rsidP="00E44EFC">
      <w:r>
        <w:t xml:space="preserve">Entsorgung: </w:t>
      </w:r>
      <w:r>
        <w:tab/>
      </w:r>
      <w:r>
        <w:tab/>
        <w:t>Kupfersulfat: Schwermetallbehälter</w:t>
      </w:r>
    </w:p>
    <w:p w:rsidR="00E44EFC" w:rsidRDefault="00E44EFC" w:rsidP="00E44EFC">
      <w:r>
        <w:tab/>
      </w:r>
      <w:r>
        <w:tab/>
      </w:r>
      <w:r>
        <w:tab/>
        <w:t>Haushaltsmüll, Abfluss</w:t>
      </w:r>
    </w:p>
    <w:p w:rsidR="00E44EFC" w:rsidRDefault="00E44EFC" w:rsidP="00E44EFC">
      <w:pPr>
        <w:ind w:left="2124" w:hanging="2124"/>
      </w:pPr>
      <w:r>
        <w:t>Literatur:</w:t>
      </w:r>
      <w:r>
        <w:tab/>
        <w:t xml:space="preserve">H. Wambach, </w:t>
      </w:r>
      <w:proofErr w:type="spellStart"/>
      <w:r>
        <w:t>Materalien</w:t>
      </w:r>
      <w:proofErr w:type="spellEnd"/>
      <w:r>
        <w:t>-Handbuch Kursunterricht Chemie, Band 2, O</w:t>
      </w:r>
      <w:r>
        <w:t>r</w:t>
      </w:r>
      <w:r>
        <w:t xml:space="preserve">ganische Chemie, </w:t>
      </w:r>
      <w:proofErr w:type="spellStart"/>
      <w:r>
        <w:t>Aulis</w:t>
      </w:r>
      <w:proofErr w:type="spellEnd"/>
      <w:r>
        <w:t xml:space="preserve"> Verlag, </w:t>
      </w:r>
      <w:proofErr w:type="spellStart"/>
      <w:r>
        <w:t>Deubner</w:t>
      </w:r>
      <w:proofErr w:type="spellEnd"/>
      <w:r>
        <w:t xml:space="preserve"> &amp; Co KG (1991), S. 3 ff.</w:t>
      </w:r>
    </w:p>
    <w:p w:rsidR="00E44EFC" w:rsidRDefault="00E44EFC" w:rsidP="00E44EFC">
      <w:pPr>
        <w:tabs>
          <w:tab w:val="left" w:pos="1701"/>
          <w:tab w:val="left" w:pos="1985"/>
        </w:tabs>
        <w:ind w:left="1980" w:hanging="1980"/>
      </w:pPr>
      <w:r>
        <w:pict>
          <v:shape id="_x0000_s1029" type="#_x0000_t202" style="width:462.45pt;height:81.3pt;mso-position-horizontal-relative:char;mso-position-vertical-relative:line;mso-width-relative:margin;mso-height-relative:margin" fillcolor="white [3201]" strokecolor="#c0504d [3205]" strokeweight="1pt">
            <v:stroke dashstyle="dash"/>
            <v:shadow color="#868686"/>
            <v:textbox style="mso-next-textbox:#_x0000_s1029">
              <w:txbxContent>
                <w:p w:rsidR="00E44EFC" w:rsidRPr="00B5262B" w:rsidRDefault="00E44EFC" w:rsidP="00E44EFC">
                  <w:pPr>
                    <w:rPr>
                      <w:color w:val="auto"/>
                    </w:rPr>
                  </w:pPr>
                  <w:r w:rsidRPr="00B5262B">
                    <w:rPr>
                      <w:b/>
                      <w:color w:val="auto"/>
                    </w:rPr>
                    <w:t xml:space="preserve">Unterrichtsanschlüsse </w:t>
                  </w:r>
                  <w:r w:rsidRPr="00B5262B">
                    <w:rPr>
                      <w:color w:val="auto"/>
                    </w:rPr>
                    <w:t>Der Versuch dient als Einführung in die Alkane und demonstriert die Zusammensetzung aus den Elementen Kohlenstoff und Wasserstoff. Aufgrund der verwend</w:t>
                  </w:r>
                  <w:r w:rsidRPr="00B5262B">
                    <w:rPr>
                      <w:color w:val="auto"/>
                    </w:rPr>
                    <w:t>e</w:t>
                  </w:r>
                  <w:r w:rsidRPr="00B5262B">
                    <w:rPr>
                      <w:color w:val="auto"/>
                    </w:rPr>
                    <w:t>ten Chemikalien sollte er nicht von SuS durchgeführt werden. Alternativ können auch andere Alkane als Petroleumbenzin verbrannt werden.</w:t>
                  </w:r>
                </w:p>
              </w:txbxContent>
            </v:textbox>
            <w10:wrap type="none"/>
            <w10:anchorlock/>
          </v:shape>
        </w:pict>
      </w:r>
    </w:p>
    <w:p w:rsidR="00BE6DD9" w:rsidRPr="001B1A06" w:rsidRDefault="00BE6DD9" w:rsidP="001B1A06"/>
    <w:sectPr w:rsidR="00BE6DD9" w:rsidRPr="001B1A06" w:rsidSect="00105256">
      <w:headerReference w:type="default" r:id="rId18"/>
      <w:pgSz w:w="11907" w:h="16839" w:code="9"/>
      <w:pgMar w:top="1440" w:right="1440" w:bottom="1701" w:left="1440"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AB8" w:rsidRDefault="00536AB8" w:rsidP="009524CC">
      <w:pPr>
        <w:spacing w:after="0"/>
      </w:pPr>
      <w:r>
        <w:separator/>
      </w:r>
    </w:p>
  </w:endnote>
  <w:endnote w:type="continuationSeparator" w:id="0">
    <w:p w:rsidR="00536AB8" w:rsidRDefault="00536AB8" w:rsidP="00952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AB8" w:rsidRDefault="00536AB8" w:rsidP="009524CC">
      <w:pPr>
        <w:spacing w:after="0"/>
      </w:pPr>
      <w:r>
        <w:separator/>
      </w:r>
    </w:p>
  </w:footnote>
  <w:footnote w:type="continuationSeparator" w:id="0">
    <w:p w:rsidR="00536AB8" w:rsidRDefault="00536AB8" w:rsidP="009524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08425D" w:rsidP="00BD7F16">
          <w:pPr>
            <w:pStyle w:val="Kopfzeile"/>
            <w:tabs>
              <w:tab w:val="clear" w:pos="4680"/>
              <w:tab w:val="left" w:pos="0"/>
              <w:tab w:val="center" w:pos="284"/>
              <w:tab w:val="left" w:pos="8789"/>
            </w:tabs>
            <w:rPr>
              <w:sz w:val="20"/>
              <w:szCs w:val="20"/>
            </w:rPr>
          </w:pPr>
          <w:fldSimple w:instr=" STYLEREF  &quot;Überschrift 1&quot;  \* MERGEFORMAT ">
            <w:r w:rsidR="00E44EFC" w:rsidRPr="00E44EFC">
              <w:rPr>
                <w:b/>
                <w:bCs/>
                <w:noProof/>
                <w:sz w:val="20"/>
                <w:szCs w:val="20"/>
              </w:rPr>
              <w:t>V 1 – Qualitativer Nachweis von Kohlenstoff</w:t>
            </w:r>
            <w:r w:rsidR="00E44EFC">
              <w:rPr>
                <w:noProof/>
                <w:sz w:val="20"/>
                <w:szCs w:val="20"/>
              </w:rPr>
              <w:t xml:space="preserve"> und Wasserstoff</w:t>
            </w:r>
          </w:fldSimple>
        </w:p>
      </w:tc>
      <w:tc>
        <w:tcPr>
          <w:tcW w:w="695" w:type="dxa"/>
          <w:tcBorders>
            <w:bottom w:val="single" w:sz="4" w:space="0" w:color="auto"/>
          </w:tcBorders>
          <w:shd w:val="clear" w:color="auto" w:fill="auto"/>
        </w:tcPr>
        <w:p w:rsidR="00501F12" w:rsidRPr="00BD7F16" w:rsidRDefault="0008425D"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E44EFC">
            <w:rPr>
              <w:noProof/>
              <w:sz w:val="20"/>
              <w:szCs w:val="20"/>
            </w:rPr>
            <w:t>3</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425D"/>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6AB8"/>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4EFC"/>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Anfhrungszeichen">
    <w:name w:val="Quote"/>
    <w:basedOn w:val="Standard"/>
    <w:next w:val="Standard"/>
    <w:link w:val="AnfhrungszeichenZchn"/>
    <w:uiPriority w:val="29"/>
    <w:qFormat/>
    <w:rsid w:val="00EC6939"/>
    <w:pPr>
      <w:spacing w:before="200"/>
      <w:ind w:left="357" w:right="357"/>
    </w:pPr>
    <w:rPr>
      <w:i/>
      <w:iCs/>
    </w:rPr>
  </w:style>
  <w:style w:type="character" w:customStyle="1" w:styleId="AnfhrungszeichenZchn">
    <w:name w:val="Anführungszeichen Zchn"/>
    <w:link w:val="Anfhrungszeichen"/>
    <w:uiPriority w:val="29"/>
    <w:locked/>
    <w:rsid w:val="00EC6939"/>
    <w:rPr>
      <w:rFonts w:ascii="Cambria" w:hAnsi="Cambria" w:cs="Times New Roman"/>
      <w:i/>
      <w:iCs/>
      <w:spacing w:val="-2"/>
      <w:kern w:val="22"/>
      <w:sz w:val="24"/>
      <w:lang w:val="de-DE"/>
    </w:rPr>
  </w:style>
  <w:style w:type="paragraph" w:styleId="IntensivesAnfhrungszeichen">
    <w:name w:val="Intense Quote"/>
    <w:basedOn w:val="Standard"/>
    <w:next w:val="Standard"/>
    <w:link w:val="IntensivesAnfhrungszeichenZchn"/>
    <w:uiPriority w:val="30"/>
    <w:qFormat/>
    <w:rsid w:val="00BA51C2"/>
    <w:pPr>
      <w:pBdr>
        <w:bottom w:val="single" w:sz="4" w:space="1" w:color="auto"/>
      </w:pBdr>
      <w:spacing w:before="200" w:after="280"/>
      <w:ind w:left="1008" w:right="1152"/>
    </w:pPr>
    <w:rPr>
      <w:b/>
      <w:bCs/>
      <w:i/>
      <w:iCs/>
    </w:rPr>
  </w:style>
  <w:style w:type="character" w:customStyle="1" w:styleId="IntensivesAnfhrungszeichenZchn">
    <w:name w:val="Intensives Anführungszeichen Zchn"/>
    <w:link w:val="IntensivesAnfhrungszeichen"/>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gitternetz">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E067E-7571-4BD0-BF3B-98E4ED41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1643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Anne</cp:lastModifiedBy>
  <cp:revision>2</cp:revision>
  <cp:lastPrinted>2012-06-21T19:47:00Z</cp:lastPrinted>
  <dcterms:created xsi:type="dcterms:W3CDTF">2013-08-11T21:21:00Z</dcterms:created>
  <dcterms:modified xsi:type="dcterms:W3CDTF">2013-08-11T21:21:00Z</dcterms:modified>
</cp:coreProperties>
</file>