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62" w:rsidRDefault="00E93962" w:rsidP="00E93962">
      <w:pPr>
        <w:pStyle w:val="berschrift1"/>
        <w:numPr>
          <w:ilvl w:val="0"/>
          <w:numId w:val="0"/>
        </w:numPr>
      </w:pPr>
      <w:r>
        <w:rPr>
          <w:noProof/>
          <w:lang w:eastAsia="de-DE"/>
        </w:rPr>
        <w:pict>
          <v:shapetype id="_x0000_t202" coordsize="21600,21600" o:spt="202" path="m,l,21600r21600,l21600,xe">
            <v:stroke joinstyle="miter"/>
            <v:path gradientshapeok="t" o:connecttype="rect"/>
          </v:shapetype>
          <v:shape id="_x0000_s1034" type="#_x0000_t202" style="position:absolute;left:0;text-align:left;margin-left:-.05pt;margin-top:45.85pt;width:462.45pt;height:62.65pt;z-index:251660288;mso-width-relative:margin;mso-height-relative:margin" fillcolor="white [3201]" strokecolor="#4bacc6 [3208]" strokeweight="1pt">
            <v:stroke dashstyle="dash"/>
            <v:shadow color="#868686"/>
            <v:textbox style="mso-next-textbox:#_x0000_s1034">
              <w:txbxContent>
                <w:p w:rsidR="00E93962" w:rsidRPr="00B5262B" w:rsidRDefault="00E93962" w:rsidP="00E93962">
                  <w:pPr>
                    <w:rPr>
                      <w:color w:val="auto"/>
                    </w:rPr>
                  </w:pPr>
                  <w:r w:rsidRPr="00B5262B">
                    <w:rPr>
                      <w:color w:val="auto"/>
                    </w:rPr>
                    <w:t xml:space="preserve">Der Versuch zeigt deutlich die unterschiedlichen Flammpunkte von Pentan und dem </w:t>
                  </w:r>
                  <w:proofErr w:type="spellStart"/>
                  <w:r w:rsidRPr="00B5262B">
                    <w:rPr>
                      <w:color w:val="auto"/>
                    </w:rPr>
                    <w:t>längerkettigen</w:t>
                  </w:r>
                  <w:proofErr w:type="spellEnd"/>
                  <w:r w:rsidRPr="00B5262B">
                    <w:rPr>
                      <w:color w:val="auto"/>
                    </w:rPr>
                    <w:t xml:space="preserve"> Petroleumbenzin. Die SuS sollten hierzu die homologe Reihe der Alkane, sowie die Wechselwirkungen zwischen den </w:t>
                  </w:r>
                  <w:proofErr w:type="spellStart"/>
                  <w:r w:rsidRPr="00B5262B">
                    <w:rPr>
                      <w:color w:val="auto"/>
                    </w:rPr>
                    <w:t>Alkanketten</w:t>
                  </w:r>
                  <w:proofErr w:type="spellEnd"/>
                  <w:r w:rsidRPr="00B5262B">
                    <w:rPr>
                      <w:color w:val="auto"/>
                    </w:rPr>
                    <w:t xml:space="preserve"> kennen. </w:t>
                  </w:r>
                </w:p>
              </w:txbxContent>
            </v:textbox>
            <w10:wrap type="square"/>
          </v:shape>
        </w:pict>
      </w:r>
      <w:bookmarkStart w:id="0" w:name="_Toc363494430"/>
      <w:r>
        <w:t>V 3 – Flammpunkte von Alk</w:t>
      </w:r>
      <w:r>
        <w:t>a</w:t>
      </w:r>
      <w:r>
        <w:t>nen</w:t>
      </w:r>
      <w:bookmarkEnd w:id="0"/>
    </w:p>
    <w:p w:rsidR="00E93962" w:rsidRDefault="00E93962" w:rsidP="00E9396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93962" w:rsidRPr="009C5E28" w:rsidTr="00CE48AB">
        <w:tc>
          <w:tcPr>
            <w:tcW w:w="9322" w:type="dxa"/>
            <w:gridSpan w:val="9"/>
            <w:shd w:val="clear" w:color="auto" w:fill="4F81BD"/>
            <w:vAlign w:val="center"/>
          </w:tcPr>
          <w:p w:rsidR="00E93962" w:rsidRPr="009C5E28" w:rsidRDefault="00E93962" w:rsidP="00CE48AB">
            <w:pPr>
              <w:spacing w:after="0"/>
              <w:jc w:val="center"/>
              <w:rPr>
                <w:b/>
                <w:bCs/>
              </w:rPr>
            </w:pPr>
            <w:r w:rsidRPr="009C5E28">
              <w:rPr>
                <w:b/>
                <w:bCs/>
              </w:rPr>
              <w:t>Gefahrenstoffe</w:t>
            </w:r>
          </w:p>
        </w:tc>
      </w:tr>
      <w:tr w:rsidR="00E93962" w:rsidRPr="00E93962" w:rsidTr="00CE4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93962" w:rsidRPr="00D55D85" w:rsidRDefault="00E93962" w:rsidP="00CE48AB">
            <w:pPr>
              <w:spacing w:after="0" w:line="276" w:lineRule="auto"/>
              <w:jc w:val="center"/>
              <w:rPr>
                <w:bCs/>
              </w:rPr>
            </w:pPr>
            <w:r w:rsidRPr="00D55D85">
              <w:rPr>
                <w:bCs/>
              </w:rPr>
              <w:t>Pentan</w:t>
            </w:r>
          </w:p>
        </w:tc>
        <w:tc>
          <w:tcPr>
            <w:tcW w:w="3177" w:type="dxa"/>
            <w:gridSpan w:val="3"/>
            <w:tcBorders>
              <w:top w:val="single" w:sz="8" w:space="0" w:color="4F81BD"/>
              <w:bottom w:val="single" w:sz="8" w:space="0" w:color="4F81BD"/>
            </w:tcBorders>
            <w:shd w:val="clear" w:color="auto" w:fill="auto"/>
            <w:vAlign w:val="center"/>
          </w:tcPr>
          <w:p w:rsidR="00E93962" w:rsidRPr="00E93962" w:rsidRDefault="00E93962" w:rsidP="00CE48AB">
            <w:pPr>
              <w:spacing w:after="0"/>
              <w:jc w:val="center"/>
            </w:pPr>
            <w:r w:rsidRPr="00E93962">
              <w:rPr>
                <w:sz w:val="20"/>
              </w:rPr>
              <w:t xml:space="preserve">H: </w:t>
            </w:r>
            <w:r w:rsidRPr="00E93962">
              <w:t>225-304-336-411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93962" w:rsidRPr="00E93962" w:rsidRDefault="00E93962" w:rsidP="00CE48AB">
            <w:pPr>
              <w:spacing w:after="0"/>
              <w:jc w:val="center"/>
            </w:pPr>
            <w:r w:rsidRPr="00E93962">
              <w:rPr>
                <w:sz w:val="20"/>
              </w:rPr>
              <w:t xml:space="preserve">P: </w:t>
            </w:r>
            <w:r w:rsidRPr="00E93962">
              <w:t>273-301+310-331-403+235</w:t>
            </w:r>
          </w:p>
        </w:tc>
      </w:tr>
      <w:tr w:rsidR="00E93962" w:rsidRPr="00E93962" w:rsidTr="00CE48AB">
        <w:trPr>
          <w:trHeight w:val="434"/>
        </w:trPr>
        <w:tc>
          <w:tcPr>
            <w:tcW w:w="3027" w:type="dxa"/>
            <w:gridSpan w:val="3"/>
            <w:shd w:val="clear" w:color="auto" w:fill="auto"/>
            <w:vAlign w:val="center"/>
          </w:tcPr>
          <w:p w:rsidR="00E93962" w:rsidRPr="009C5E28" w:rsidRDefault="00E93962" w:rsidP="00CE48AB">
            <w:pPr>
              <w:spacing w:after="0" w:line="276" w:lineRule="auto"/>
              <w:jc w:val="center"/>
              <w:rPr>
                <w:bCs/>
                <w:sz w:val="20"/>
              </w:rPr>
            </w:pPr>
            <w:r>
              <w:rPr>
                <w:color w:val="auto"/>
                <w:sz w:val="20"/>
                <w:szCs w:val="20"/>
              </w:rPr>
              <w:t>Petroleumbenzin</w:t>
            </w:r>
          </w:p>
        </w:tc>
        <w:tc>
          <w:tcPr>
            <w:tcW w:w="3177" w:type="dxa"/>
            <w:gridSpan w:val="3"/>
            <w:shd w:val="clear" w:color="auto" w:fill="auto"/>
            <w:vAlign w:val="center"/>
          </w:tcPr>
          <w:p w:rsidR="00E93962" w:rsidRPr="00E93962" w:rsidRDefault="00E93962" w:rsidP="00CE48AB">
            <w:pPr>
              <w:pStyle w:val="Beschriftung"/>
              <w:spacing w:after="0"/>
              <w:jc w:val="center"/>
              <w:rPr>
                <w:b w:val="0"/>
                <w:sz w:val="20"/>
              </w:rPr>
            </w:pPr>
            <w:r w:rsidRPr="00E93962">
              <w:rPr>
                <w:b w:val="0"/>
                <w:sz w:val="20"/>
              </w:rPr>
              <w:t>H: 226-304</w:t>
            </w:r>
          </w:p>
        </w:tc>
        <w:tc>
          <w:tcPr>
            <w:tcW w:w="3118" w:type="dxa"/>
            <w:gridSpan w:val="3"/>
            <w:shd w:val="clear" w:color="auto" w:fill="auto"/>
            <w:vAlign w:val="center"/>
          </w:tcPr>
          <w:p w:rsidR="00E93962" w:rsidRPr="00E93962" w:rsidRDefault="00E93962" w:rsidP="00CE48AB">
            <w:pPr>
              <w:pStyle w:val="Beschriftung"/>
              <w:spacing w:after="0"/>
              <w:jc w:val="center"/>
              <w:rPr>
                <w:b w:val="0"/>
                <w:sz w:val="20"/>
              </w:rPr>
            </w:pPr>
            <w:r w:rsidRPr="00E93962">
              <w:rPr>
                <w:b w:val="0"/>
                <w:sz w:val="20"/>
              </w:rPr>
              <w:t>P: 210-301+340-331</w:t>
            </w:r>
          </w:p>
        </w:tc>
      </w:tr>
      <w:tr w:rsidR="00E93962" w:rsidRPr="009C5E28" w:rsidTr="00CE48AB">
        <w:tc>
          <w:tcPr>
            <w:tcW w:w="1009" w:type="dxa"/>
            <w:tcBorders>
              <w:top w:val="single" w:sz="8" w:space="0" w:color="4F81BD"/>
              <w:left w:val="single" w:sz="8" w:space="0" w:color="4F81BD"/>
              <w:bottom w:val="single" w:sz="8" w:space="0" w:color="4F81BD"/>
            </w:tcBorders>
            <w:shd w:val="clear" w:color="auto" w:fill="auto"/>
            <w:vAlign w:val="center"/>
          </w:tcPr>
          <w:p w:rsidR="00E93962" w:rsidRPr="009C5E28" w:rsidRDefault="00E93962" w:rsidP="00CE48AB">
            <w:pPr>
              <w:spacing w:after="0"/>
              <w:jc w:val="center"/>
              <w:rPr>
                <w:b/>
                <w:bCs/>
              </w:rPr>
            </w:pPr>
            <w:r>
              <w:rPr>
                <w:b/>
                <w:noProof/>
                <w:lang w:eastAsia="de-DE"/>
              </w:rPr>
              <w:drawing>
                <wp:inline distT="0" distB="0" distL="0" distR="0">
                  <wp:extent cx="504190" cy="504190"/>
                  <wp:effectExtent l="19050" t="0" r="0" b="0"/>
                  <wp:docPr id="21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504190" cy="504190"/>
                  <wp:effectExtent l="0" t="0" r="0" b="0"/>
                  <wp:docPr id="21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474452" cy="474452"/>
                  <wp:effectExtent l="19050" t="0" r="1798" b="0"/>
                  <wp:docPr id="218" name="Bild 15" descr="C:\Users\Anne\AppData\Local\Temp\Rar$DI05.476\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ne\AppData\Local\Temp\Rar$DI05.476\Brennbar.png"/>
                          <pic:cNvPicPr>
                            <a:picLocks noChangeAspect="1" noChangeArrowheads="1"/>
                          </pic:cNvPicPr>
                        </pic:nvPicPr>
                        <pic:blipFill>
                          <a:blip r:embed="rId10"/>
                          <a:srcRect/>
                          <a:stretch>
                            <a:fillRect/>
                          </a:stretch>
                        </pic:blipFill>
                        <pic:spPr bwMode="auto">
                          <a:xfrm>
                            <a:off x="0" y="0"/>
                            <a:ext cx="477810" cy="47781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504190" cy="504190"/>
                  <wp:effectExtent l="0" t="0" r="0" b="0"/>
                  <wp:docPr id="21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504190" cy="504190"/>
                  <wp:effectExtent l="0" t="0" r="0" b="0"/>
                  <wp:docPr id="22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491705" cy="491705"/>
                  <wp:effectExtent l="19050" t="0" r="3595" b="0"/>
                  <wp:docPr id="221" name="Bild 16" descr="C:\Users\Anne\AppData\Local\Temp\Rar$DI09.058\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ne\AppData\Local\Temp\Rar$DI09.058\Gesundheitsgefahr.png"/>
                          <pic:cNvPicPr>
                            <a:picLocks noChangeAspect="1" noChangeArrowheads="1"/>
                          </pic:cNvPicPr>
                        </pic:nvPicPr>
                        <pic:blipFill>
                          <a:blip r:embed="rId13"/>
                          <a:srcRect/>
                          <a:stretch>
                            <a:fillRect/>
                          </a:stretch>
                        </pic:blipFill>
                        <pic:spPr bwMode="auto">
                          <a:xfrm>
                            <a:off x="0" y="0"/>
                            <a:ext cx="492126" cy="492126"/>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504190" cy="504190"/>
                  <wp:effectExtent l="0" t="0" r="0" b="0"/>
                  <wp:docPr id="22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511175" cy="511175"/>
                  <wp:effectExtent l="0" t="0" r="0" b="0"/>
                  <wp:docPr id="22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93962" w:rsidRPr="009C5E28" w:rsidRDefault="00E93962" w:rsidP="00CE48AB">
            <w:pPr>
              <w:spacing w:after="0"/>
              <w:jc w:val="center"/>
            </w:pPr>
            <w:r>
              <w:rPr>
                <w:noProof/>
                <w:lang w:eastAsia="de-DE"/>
              </w:rPr>
              <w:drawing>
                <wp:inline distT="0" distB="0" distL="0" distR="0">
                  <wp:extent cx="569343" cy="569343"/>
                  <wp:effectExtent l="19050" t="0" r="2157" b="0"/>
                  <wp:docPr id="224" name="Bild 17" descr="C:\Users\Anne\AppData\Local\Temp\Rar$DI01.577\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ne\AppData\Local\Temp\Rar$DI01.577\Umweltgefahr.png"/>
                          <pic:cNvPicPr>
                            <a:picLocks noChangeAspect="1" noChangeArrowheads="1"/>
                          </pic:cNvPicPr>
                        </pic:nvPicPr>
                        <pic:blipFill>
                          <a:blip r:embed="rId16"/>
                          <a:srcRect/>
                          <a:stretch>
                            <a:fillRect/>
                          </a:stretch>
                        </pic:blipFill>
                        <pic:spPr bwMode="auto">
                          <a:xfrm>
                            <a:off x="0" y="0"/>
                            <a:ext cx="571355" cy="571355"/>
                          </a:xfrm>
                          <a:prstGeom prst="rect">
                            <a:avLst/>
                          </a:prstGeom>
                          <a:noFill/>
                          <a:ln w="9525">
                            <a:noFill/>
                            <a:miter lim="800000"/>
                            <a:headEnd/>
                            <a:tailEnd/>
                          </a:ln>
                        </pic:spPr>
                      </pic:pic>
                    </a:graphicData>
                  </a:graphic>
                </wp:inline>
              </w:drawing>
            </w:r>
          </w:p>
        </w:tc>
      </w:tr>
    </w:tbl>
    <w:p w:rsidR="00E93962" w:rsidRDefault="00E93962" w:rsidP="00E93962">
      <w:pPr>
        <w:tabs>
          <w:tab w:val="left" w:pos="1701"/>
          <w:tab w:val="left" w:pos="1985"/>
        </w:tabs>
        <w:ind w:left="1980" w:hanging="1980"/>
      </w:pPr>
    </w:p>
    <w:p w:rsidR="00E93962" w:rsidRDefault="00E93962" w:rsidP="00E93962">
      <w:pPr>
        <w:tabs>
          <w:tab w:val="left" w:pos="1701"/>
          <w:tab w:val="left" w:pos="1985"/>
        </w:tabs>
        <w:ind w:left="1980" w:hanging="1980"/>
      </w:pPr>
      <w:r>
        <w:t xml:space="preserve">Materialien: </w:t>
      </w:r>
      <w:r>
        <w:tab/>
      </w:r>
      <w:r>
        <w:tab/>
      </w:r>
      <w:r>
        <w:tab/>
      </w:r>
      <w:r>
        <w:tab/>
        <w:t>2 Porzellanschalen, Holzspan, Pipette</w:t>
      </w:r>
    </w:p>
    <w:p w:rsidR="00E93962" w:rsidRDefault="00E93962" w:rsidP="00E93962">
      <w:pPr>
        <w:tabs>
          <w:tab w:val="left" w:pos="1701"/>
          <w:tab w:val="left" w:pos="1985"/>
        </w:tabs>
        <w:ind w:left="2124" w:hanging="2124"/>
      </w:pPr>
      <w:r>
        <w:t>Chemikalien:</w:t>
      </w:r>
      <w:r>
        <w:tab/>
      </w:r>
      <w:r>
        <w:tab/>
      </w:r>
      <w:r>
        <w:tab/>
        <w:t xml:space="preserve">Pentan, Petroleumbenzin </w:t>
      </w:r>
    </w:p>
    <w:p w:rsidR="00E93962" w:rsidRDefault="00E93962" w:rsidP="00E93962">
      <w:pPr>
        <w:tabs>
          <w:tab w:val="left" w:pos="1701"/>
          <w:tab w:val="left" w:pos="1985"/>
        </w:tabs>
        <w:ind w:left="2124" w:hanging="2124"/>
      </w:pPr>
      <w:r>
        <w:t xml:space="preserve">Durchführung: </w:t>
      </w:r>
      <w:r>
        <w:tab/>
      </w:r>
      <w:r>
        <w:tab/>
      </w:r>
      <w:r>
        <w:tab/>
        <w:t>Je 2 ml Pentan und Petroleumbenzin werden in die Porzellanschalen g</w:t>
      </w:r>
      <w:r>
        <w:t>e</w:t>
      </w:r>
      <w:r>
        <w:t>geben und mit dem Holzspan langsam von oben entzündet.</w:t>
      </w:r>
    </w:p>
    <w:p w:rsidR="00E93962" w:rsidRDefault="00E93962" w:rsidP="00E93962">
      <w:pPr>
        <w:ind w:left="2124" w:hanging="2124"/>
      </w:pPr>
      <w:r>
        <w:t>Beobachtung:</w:t>
      </w:r>
      <w:r>
        <w:tab/>
        <w:t>Pentan entflammt bereits, wenn das Streichholz über die Flüssigkeit g</w:t>
      </w:r>
      <w:r>
        <w:t>e</w:t>
      </w:r>
      <w:r>
        <w:t>halten wird. Petroleumbenzin hingegen muss lange Zeit in direkten Ko</w:t>
      </w:r>
      <w:r>
        <w:t>n</w:t>
      </w:r>
      <w:r>
        <w:t>takt zum Streichholz gebracht werden, damit es brennt.</w:t>
      </w:r>
    </w:p>
    <w:p w:rsidR="00E93962" w:rsidRDefault="00E93962" w:rsidP="00E93962">
      <w:pPr>
        <w:keepNext/>
        <w:tabs>
          <w:tab w:val="left" w:pos="1701"/>
          <w:tab w:val="left" w:pos="1985"/>
        </w:tabs>
        <w:ind w:left="1980" w:hanging="1980"/>
        <w:jc w:val="center"/>
      </w:pPr>
      <w:r>
        <w:rPr>
          <w:noProof/>
          <w:lang w:eastAsia="de-DE"/>
        </w:rPr>
        <w:drawing>
          <wp:inline distT="0" distB="0" distL="0" distR="0">
            <wp:extent cx="3607698" cy="2104845"/>
            <wp:effectExtent l="19050" t="0" r="0" b="0"/>
            <wp:docPr id="225"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l="13746" t="7914" r="23674" b="33573"/>
                    <a:stretch>
                      <a:fillRect/>
                    </a:stretch>
                  </pic:blipFill>
                  <pic:spPr bwMode="auto">
                    <a:xfrm>
                      <a:off x="0" y="0"/>
                      <a:ext cx="3607698" cy="2104845"/>
                    </a:xfrm>
                    <a:prstGeom prst="rect">
                      <a:avLst/>
                    </a:prstGeom>
                    <a:noFill/>
                    <a:ln w="9525">
                      <a:noFill/>
                      <a:miter lim="800000"/>
                      <a:headEnd/>
                      <a:tailEnd/>
                    </a:ln>
                  </pic:spPr>
                </pic:pic>
              </a:graphicData>
            </a:graphic>
          </wp:inline>
        </w:drawing>
      </w:r>
    </w:p>
    <w:p w:rsidR="00E93962" w:rsidRDefault="00E93962" w:rsidP="00E93962">
      <w:pPr>
        <w:pStyle w:val="Beschriftung"/>
        <w:jc w:val="left"/>
      </w:pPr>
      <w:r>
        <w:t xml:space="preserve">Abb. 4 - </w:t>
      </w:r>
      <w:r>
        <w:rPr>
          <w:noProof/>
        </w:rPr>
        <w:t xml:space="preserve"> Unterschiedliche Flammpunkte von Pentan (links) und Petroleumbenzin (rechts).</w:t>
      </w:r>
    </w:p>
    <w:p w:rsidR="00E93962" w:rsidRDefault="00E93962" w:rsidP="00E93962">
      <w:pPr>
        <w:tabs>
          <w:tab w:val="left" w:pos="1701"/>
          <w:tab w:val="left" w:pos="1985"/>
        </w:tabs>
        <w:ind w:left="2124" w:hanging="2124"/>
      </w:pPr>
      <w:r>
        <w:lastRenderedPageBreak/>
        <w:t>Deutung:</w:t>
      </w:r>
      <w:r>
        <w:tab/>
      </w:r>
      <w:r>
        <w:tab/>
      </w:r>
      <w:r>
        <w:tab/>
        <w:t>Pentan bildet schon bei Zimmertemperatur genügend Dämpfe, die auch dann schon entzündet werden können, wenn die Flamme noch einige Zentimeter von der Flamme entfernt ist. Bei Petroleumbenzin ist dies erst der Fall, wenn die Flüssigkeit genügend erwärmt wurde.</w:t>
      </w:r>
    </w:p>
    <w:p w:rsidR="00E93962" w:rsidRDefault="00E93962" w:rsidP="00E93962">
      <w:pPr>
        <w:tabs>
          <w:tab w:val="left" w:pos="1701"/>
          <w:tab w:val="left" w:pos="1985"/>
        </w:tabs>
        <w:ind w:left="2124" w:hanging="2124"/>
        <w:rPr>
          <w:rFonts w:eastAsiaTheme="minorEastAsia"/>
        </w:rPr>
      </w:pPr>
      <w:r>
        <w:t xml:space="preserve">Entsorgung: </w:t>
      </w:r>
      <w:r>
        <w:tab/>
      </w:r>
      <w:r>
        <w:tab/>
      </w:r>
      <w:r>
        <w:tab/>
        <w:t>Die Alkane sollten vollständig verbrannt werden.</w:t>
      </w:r>
    </w:p>
    <w:p w:rsidR="00E93962" w:rsidRDefault="00E93962" w:rsidP="00E93962">
      <w:pPr>
        <w:ind w:left="2124" w:hanging="2124"/>
      </w:pPr>
      <w:r>
        <w:t>Literatur:</w:t>
      </w:r>
      <w:r>
        <w:tab/>
        <w:t xml:space="preserve">K. Häusler, H. </w:t>
      </w:r>
      <w:proofErr w:type="spellStart"/>
      <w:r>
        <w:t>Rampf</w:t>
      </w:r>
      <w:proofErr w:type="spellEnd"/>
      <w:r>
        <w:t xml:space="preserve">, R. Reichelt, Experimente für den Chemieunterricht mit einer Einführung in die Labortechnik, 2. Auflage, </w:t>
      </w:r>
      <w:proofErr w:type="spellStart"/>
      <w:r>
        <w:t>Oldenbourg</w:t>
      </w:r>
      <w:proofErr w:type="spellEnd"/>
      <w:r>
        <w:t xml:space="preserve"> (1995), S. 69</w:t>
      </w:r>
    </w:p>
    <w:p w:rsidR="00441602" w:rsidRPr="00441602" w:rsidRDefault="00E93962" w:rsidP="00E93962">
      <w:r w:rsidRPr="00303A0A">
        <w:rPr>
          <w:rFonts w:eastAsiaTheme="minorHAnsi"/>
        </w:rPr>
      </w:r>
      <w:r w:rsidRPr="00303A0A">
        <w:rPr>
          <w:rFonts w:eastAsiaTheme="minorHAnsi"/>
        </w:rPr>
        <w:pict>
          <v:shape id="_x0000_s1033" type="#_x0000_t202" style="width:462.45pt;height:85.9pt;mso-position-horizontal-relative:char;mso-position-vertical-relative:line;mso-width-relative:margin;mso-height-relative:margin" fillcolor="white [3201]" strokecolor="#c0504d [3205]" strokeweight="1pt">
            <v:stroke dashstyle="dash"/>
            <v:shadow color="#868686"/>
            <v:textbox style="mso-next-textbox:#_x0000_s1033">
              <w:txbxContent>
                <w:p w:rsidR="00E93962" w:rsidRPr="00B5262B" w:rsidRDefault="00E93962" w:rsidP="00E93962">
                  <w:pPr>
                    <w:rPr>
                      <w:color w:val="auto"/>
                    </w:rPr>
                  </w:pPr>
                  <w:r w:rsidRPr="00B5262B">
                    <w:rPr>
                      <w:b/>
                      <w:color w:val="auto"/>
                    </w:rPr>
                    <w:t xml:space="preserve">Unterrichtsanschlüsse </w:t>
                  </w:r>
                  <w:r w:rsidRPr="00B5262B">
                    <w:rPr>
                      <w:color w:val="auto"/>
                    </w:rPr>
                    <w:t>Der Versuch kann gut in einer Einführung zum Thema Alkane genutzt werden, um den Zusammenhang zwischen intermolekularen Wechselwirkungen,</w:t>
                  </w:r>
                  <w:r w:rsidRPr="00B5262B">
                    <w:rPr>
                      <w:b/>
                      <w:color w:val="auto"/>
                    </w:rPr>
                    <w:t xml:space="preserve"> </w:t>
                  </w:r>
                  <w:r w:rsidRPr="00B5262B">
                    <w:rPr>
                      <w:color w:val="auto"/>
                    </w:rPr>
                    <w:t>Siedepunkt und Entflammbarkeit von Alkanen aufzuzeigen. Er sollte aufgrund der verwendeten Chemik</w:t>
                  </w:r>
                  <w:r w:rsidRPr="00B5262B">
                    <w:rPr>
                      <w:color w:val="auto"/>
                    </w:rPr>
                    <w:t>a</w:t>
                  </w:r>
                  <w:r w:rsidRPr="00B5262B">
                    <w:rPr>
                      <w:color w:val="auto"/>
                    </w:rPr>
                    <w:t xml:space="preserve">lien nur von einer Lehrkraft unter dem Abzug durchgeführt werden. </w:t>
                  </w:r>
                </w:p>
              </w:txbxContent>
            </v:textbox>
            <w10:wrap type="none"/>
            <w10:anchorlock/>
          </v:shape>
        </w:pict>
      </w:r>
    </w:p>
    <w:sectPr w:rsidR="00441602" w:rsidRPr="00441602"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4A" w:rsidRDefault="00691F4A" w:rsidP="009524CC">
      <w:pPr>
        <w:spacing w:after="0"/>
      </w:pPr>
      <w:r>
        <w:separator/>
      </w:r>
    </w:p>
  </w:endnote>
  <w:endnote w:type="continuationSeparator" w:id="0">
    <w:p w:rsidR="00691F4A" w:rsidRDefault="00691F4A"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4A" w:rsidRDefault="00691F4A" w:rsidP="009524CC">
      <w:pPr>
        <w:spacing w:after="0"/>
      </w:pPr>
      <w:r>
        <w:separator/>
      </w:r>
    </w:p>
  </w:footnote>
  <w:footnote w:type="continuationSeparator" w:id="0">
    <w:p w:rsidR="00691F4A" w:rsidRDefault="00691F4A"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rPr>
              <w:sz w:val="20"/>
              <w:szCs w:val="20"/>
            </w:rPr>
          </w:pPr>
          <w:fldSimple w:instr=" STYLEREF  &quot;Überschrift 1&quot;  \* MERGEFORMAT ">
            <w:r w:rsidR="00E93962" w:rsidRPr="00E93962">
              <w:rPr>
                <w:b/>
                <w:bCs/>
                <w:noProof/>
                <w:sz w:val="20"/>
                <w:szCs w:val="20"/>
              </w:rPr>
              <w:t>V 3 – Flammpunkte von Alkanen</w:t>
            </w:r>
          </w:fldSimple>
        </w:p>
      </w:tc>
      <w:tc>
        <w:tcPr>
          <w:tcW w:w="695"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E93962">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425D"/>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602"/>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1F4A"/>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4EFC"/>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962"/>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14B6-473F-4372-9E38-0BA0C901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2013-08-11T21:23:00Z</dcterms:created>
  <dcterms:modified xsi:type="dcterms:W3CDTF">2013-08-11T21:23:00Z</dcterms:modified>
</cp:coreProperties>
</file>