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4D" w:rsidRDefault="00D5554D" w:rsidP="00D5554D">
      <w:pPr>
        <w:pStyle w:val="berschrift1"/>
        <w:numPr>
          <w:ilvl w:val="0"/>
          <w:numId w:val="0"/>
        </w:numPr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.05pt;margin-top:45.85pt;width:462.45pt;height:81.0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36">
              <w:txbxContent>
                <w:p w:rsidR="00D5554D" w:rsidRPr="00B5262B" w:rsidRDefault="00D5554D" w:rsidP="00D5554D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Unter Lichteinfluss findet eine radikalische Substitution von Alkanen wie Heptan durch das Halogen Brom statt. Dieser Versuch ist aufgrund der komplexen Reaktion stärker in der Obe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stufe anzusiedeln, soll aber zur vollständigen Darstellung des Themas Alkane an dieser Stelle genannt werden.</w:t>
                  </w:r>
                </w:p>
              </w:txbxContent>
            </v:textbox>
            <w10:wrap type="square"/>
          </v:shape>
        </w:pict>
      </w:r>
      <w:bookmarkStart w:id="0" w:name="_Toc363494431"/>
      <w:r>
        <w:t>V 4 – Radikalische Substitution von Heptan mit Brom</w:t>
      </w:r>
      <w:bookmarkEnd w:id="0"/>
    </w:p>
    <w:p w:rsidR="00D5554D" w:rsidRDefault="00D5554D" w:rsidP="00D5554D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5554D" w:rsidRPr="009C5E28" w:rsidTr="00CE48AB">
        <w:tc>
          <w:tcPr>
            <w:tcW w:w="9322" w:type="dxa"/>
            <w:gridSpan w:val="9"/>
            <w:shd w:val="clear" w:color="auto" w:fill="4F81BD"/>
            <w:vAlign w:val="center"/>
          </w:tcPr>
          <w:p w:rsidR="00D5554D" w:rsidRPr="009C5E28" w:rsidRDefault="00D5554D" w:rsidP="00CE48AB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D5554D" w:rsidRPr="009C5E28" w:rsidTr="00CE48A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554D" w:rsidRPr="009C5E28" w:rsidRDefault="00D5554D" w:rsidP="00CE48AB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Brom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554D" w:rsidRPr="009C5E28" w:rsidRDefault="00D5554D" w:rsidP="00CE48AB">
            <w:pPr>
              <w:spacing w:after="0"/>
              <w:jc w:val="center"/>
            </w:pPr>
            <w:r w:rsidRPr="009C5E28">
              <w:rPr>
                <w:sz w:val="20"/>
              </w:rPr>
              <w:t>H</w:t>
            </w:r>
            <w:r>
              <w:rPr>
                <w:sz w:val="20"/>
              </w:rPr>
              <w:t>: 330-314-400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5554D" w:rsidRPr="009C5E28" w:rsidRDefault="00D5554D" w:rsidP="00CE48AB">
            <w:pPr>
              <w:spacing w:after="0" w:line="240" w:lineRule="auto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210-273-304+340-305+351+338-403+233</w:t>
            </w:r>
          </w:p>
        </w:tc>
      </w:tr>
      <w:tr w:rsidR="00D5554D" w:rsidRPr="009C5E28" w:rsidTr="00CE48A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D5554D" w:rsidRPr="009C5E28" w:rsidRDefault="00D5554D" w:rsidP="00CE48AB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t>Heptan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5554D" w:rsidRPr="009C5E28" w:rsidRDefault="00D5554D" w:rsidP="00CE48AB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hyperlink r:id="rId8" w:anchor="H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332</w:t>
              </w:r>
            </w:hyperlink>
            <w:r w:rsidRPr="009C5E28">
              <w:rPr>
                <w:sz w:val="20"/>
              </w:rPr>
              <w:t>-</w:t>
            </w:r>
            <w:hyperlink r:id="rId9" w:anchor="H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312</w:t>
              </w:r>
            </w:hyperlink>
            <w:r w:rsidRPr="009C5E28">
              <w:rPr>
                <w:sz w:val="20"/>
              </w:rPr>
              <w:t>-</w:t>
            </w:r>
            <w:hyperlink r:id="rId10" w:anchor="H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302</w:t>
              </w:r>
            </w:hyperlink>
            <w:r w:rsidRPr="009C5E28">
              <w:rPr>
                <w:sz w:val="20"/>
              </w:rPr>
              <w:t>-</w:t>
            </w:r>
            <w:hyperlink r:id="rId11" w:anchor="H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412</w:t>
              </w:r>
            </w:hyperlink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5554D" w:rsidRPr="009C5E28" w:rsidRDefault="00D5554D" w:rsidP="00CE48AB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hyperlink r:id="rId12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273</w:t>
              </w:r>
            </w:hyperlink>
            <w:r w:rsidRPr="009C5E28">
              <w:rPr>
                <w:sz w:val="20"/>
              </w:rPr>
              <w:t>-​</w:t>
            </w:r>
            <w:hyperlink r:id="rId13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302+352</w:t>
              </w:r>
            </w:hyperlink>
          </w:p>
        </w:tc>
      </w:tr>
      <w:tr w:rsidR="00D5554D" w:rsidRPr="009C5E28" w:rsidTr="00CE48A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554D" w:rsidRPr="009C5E28" w:rsidRDefault="00D5554D" w:rsidP="00CE48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26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554D" w:rsidRPr="009C5E28" w:rsidRDefault="00D5554D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27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554D" w:rsidRPr="009C5E28" w:rsidRDefault="00D5554D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26211" cy="526211"/>
                  <wp:effectExtent l="0" t="0" r="7189" b="0"/>
                  <wp:docPr id="228" name="Bild 18" descr="C:\Users\Anne\AppData\Local\Temp\Rar$DI05.476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nne\AppData\Local\Temp\Rar$DI05.476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739" cy="528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554D" w:rsidRPr="009C5E28" w:rsidRDefault="00D5554D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29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554D" w:rsidRPr="009C5E28" w:rsidRDefault="00D5554D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26211" cy="526211"/>
                  <wp:effectExtent l="0" t="0" r="7189" b="0"/>
                  <wp:docPr id="230" name="Bild 20" descr="C:\Users\Anne\AppData\Local\Temp\Rar$DI30.563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nne\AppData\Local\Temp\Rar$DI30.563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66" cy="528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554D" w:rsidRPr="009C5E28" w:rsidRDefault="00D5554D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9382" cy="519382"/>
                  <wp:effectExtent l="19050" t="0" r="0" b="0"/>
                  <wp:docPr id="231" name="Bild 21" descr="C:\Users\Anne\AppData\Local\Temp\Rar$DI09.058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nne\AppData\Local\Temp\Rar$DI09.058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572" cy="521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554D" w:rsidRPr="009C5E28" w:rsidRDefault="00D5554D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26211" cy="526211"/>
                  <wp:effectExtent l="0" t="0" r="7189" b="0"/>
                  <wp:docPr id="232" name="Bild 22" descr="C:\Users\Anne\AppData\Local\Temp\Rar$DI11.5689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nne\AppData\Local\Temp\Rar$DI11.5689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661" cy="526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5554D" w:rsidRPr="009C5E28" w:rsidRDefault="00D5554D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233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5554D" w:rsidRPr="009C5E28" w:rsidRDefault="00D5554D" w:rsidP="00CE4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52091" cy="552091"/>
                  <wp:effectExtent l="19050" t="0" r="359" b="0"/>
                  <wp:docPr id="234" name="Bild 19" descr="C:\Users\Anne\AppData\Local\Temp\Rar$DI01.577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nne\AppData\Local\Temp\Rar$DI01.577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19" cy="555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54D" w:rsidRDefault="00D5554D" w:rsidP="00D5554D">
      <w:pPr>
        <w:tabs>
          <w:tab w:val="left" w:pos="1701"/>
          <w:tab w:val="left" w:pos="1985"/>
        </w:tabs>
        <w:ind w:left="1980" w:hanging="1980"/>
      </w:pPr>
    </w:p>
    <w:p w:rsidR="00D5554D" w:rsidRDefault="00D5554D" w:rsidP="00D5554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>
        <w:tab/>
        <w:t xml:space="preserve">  2 Reagenzgläser, Tagelichtprojektor, Indikatorpapier, Stativmaterial</w:t>
      </w:r>
    </w:p>
    <w:p w:rsidR="00D5554D" w:rsidRDefault="00D5554D" w:rsidP="00D5554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  Brom, Heptan</w:t>
      </w:r>
    </w:p>
    <w:p w:rsidR="00D5554D" w:rsidRDefault="00D5554D" w:rsidP="00D5554D">
      <w:pPr>
        <w:tabs>
          <w:tab w:val="left" w:pos="1701"/>
          <w:tab w:val="left" w:pos="1985"/>
        </w:tabs>
        <w:ind w:left="2124" w:hanging="2124"/>
        <w:rPr>
          <w:noProof/>
          <w:lang w:eastAsia="de-DE"/>
        </w:rPr>
      </w:pPr>
      <w:r>
        <w:t xml:space="preserve">Durchführung: </w:t>
      </w:r>
      <w:r>
        <w:tab/>
      </w:r>
      <w:r>
        <w:tab/>
      </w:r>
      <w:r>
        <w:tab/>
        <w:t xml:space="preserve">Wenige </w:t>
      </w:r>
      <w:proofErr w:type="spellStart"/>
      <w:r>
        <w:t>mL</w:t>
      </w:r>
      <w:proofErr w:type="spellEnd"/>
      <w:r>
        <w:t xml:space="preserve"> Heptan werden in die beiden Reagenzgläser gegeben und mit 2 Tropfen Brom versetzt. Ein Reagenzglas wird im Dunkeln gelagert, das andere auf dem Tageslichtprojektor. Nach ca. 5 min. werden beide Pr</w:t>
      </w:r>
      <w:r>
        <w:t>o</w:t>
      </w:r>
      <w:r>
        <w:t>ben miteinander verglichen.</w:t>
      </w:r>
      <w:r w:rsidRPr="00496D8A">
        <w:rPr>
          <w:noProof/>
          <w:lang w:eastAsia="de-DE"/>
        </w:rPr>
        <w:t xml:space="preserve"> </w:t>
      </w:r>
    </w:p>
    <w:p w:rsidR="00D5554D" w:rsidRDefault="00D5554D" w:rsidP="00D5554D">
      <w:pPr>
        <w:tabs>
          <w:tab w:val="left" w:pos="1701"/>
          <w:tab w:val="left" w:pos="1985"/>
        </w:tabs>
        <w:ind w:left="2124" w:hanging="2124"/>
      </w:pPr>
      <w:r>
        <w:t>Beobachtung:</w:t>
      </w:r>
      <w:r>
        <w:tab/>
      </w:r>
      <w:r>
        <w:tab/>
      </w:r>
      <w:r>
        <w:tab/>
        <w:t>Die Lösung, die auf dem Tageslichtprojektor gelagert wurde, entfärbt sich vollständig, während die im Dunkeln gelagerte Lösung ihre orangene Farbe behält.</w:t>
      </w:r>
    </w:p>
    <w:p w:rsidR="00D5554D" w:rsidRDefault="00D5554D" w:rsidP="00D5554D">
      <w:pPr>
        <w:tabs>
          <w:tab w:val="left" w:pos="1701"/>
          <w:tab w:val="left" w:pos="1985"/>
        </w:tabs>
        <w:ind w:left="2124" w:hanging="2124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2794208" cy="2096219"/>
            <wp:effectExtent l="19050" t="0" r="6142" b="0"/>
            <wp:docPr id="235" name="Bild 9" descr="F:\DCIM\100CANON\IMG_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0CANON\IMG_1405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619" cy="209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554562" cy="2104132"/>
            <wp:effectExtent l="19050" t="0" r="0" b="0"/>
            <wp:docPr id="236" name="Bild 10" descr="F:\DCIM\100CANON\IMG_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0CANON\IMG_140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83" cy="210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54D" w:rsidRDefault="00D5554D" w:rsidP="00D5554D">
      <w:pPr>
        <w:pStyle w:val="Beschriftung"/>
        <w:jc w:val="left"/>
      </w:pPr>
      <w:r>
        <w:t xml:space="preserve">Abb. 5 - </w:t>
      </w:r>
      <w:r>
        <w:rPr>
          <w:noProof/>
        </w:rPr>
        <w:t xml:space="preserve"> Mit Brom versetztes Heptan auf dem Tageslichtprojektor (links) und nach der Bestrahlung mit Licht (1); Referenz (2).</w:t>
      </w:r>
    </w:p>
    <w:p w:rsidR="00D5554D" w:rsidRDefault="00D5554D" w:rsidP="00D5554D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Bei der Reaktion von Brom mit Heptan handelt es sich um eine radikal</w:t>
      </w:r>
      <w:r>
        <w:t>i</w:t>
      </w:r>
      <w:r>
        <w:t xml:space="preserve">sche Substitution, bei der ein Wasserstoffatom des </w:t>
      </w:r>
      <w:proofErr w:type="spellStart"/>
      <w:r>
        <w:t>Alkans</w:t>
      </w:r>
      <w:proofErr w:type="spellEnd"/>
      <w:r>
        <w:t xml:space="preserve"> durch ein </w:t>
      </w:r>
      <w:proofErr w:type="spellStart"/>
      <w:r>
        <w:t>Bromatom</w:t>
      </w:r>
      <w:proofErr w:type="spellEnd"/>
      <w:r>
        <w:t xml:space="preserve"> ersetzt wird. Dabei wird das Brommolekül zunächst durch das Licht in zwei Bromradikale gespalten, die daraufhin die C-H Bindung a</w:t>
      </w:r>
      <w:r>
        <w:t>n</w:t>
      </w:r>
      <w:r>
        <w:t xml:space="preserve">greifen und ein H-Atom unter Bildung von </w:t>
      </w:r>
      <w:proofErr w:type="spellStart"/>
      <w:r>
        <w:t>HBr</w:t>
      </w:r>
      <w:proofErr w:type="spellEnd"/>
      <w:r>
        <w:t xml:space="preserve"> abspalten. Das entstehende Alkylradikal greift nun ein weiteres </w:t>
      </w:r>
      <w:proofErr w:type="spellStart"/>
      <w:r>
        <w:t>Bromatom</w:t>
      </w:r>
      <w:proofErr w:type="spellEnd"/>
      <w:r>
        <w:t xml:space="preserve"> an, sodass ein Bromalkan und ein weiteres Bromradikal gebildet werden und die Kettenreaktion weiter läuft.</w:t>
      </w:r>
    </w:p>
    <w:p w:rsidR="00D5554D" w:rsidRDefault="00D5554D" w:rsidP="00D5554D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>
        <w:rPr>
          <w:noProof/>
          <w:lang w:eastAsia="de-DE"/>
        </w:rPr>
        <w:drawing>
          <wp:inline distT="0" distB="0" distL="0" distR="0">
            <wp:extent cx="3520212" cy="1725283"/>
            <wp:effectExtent l="19050" t="0" r="4038" b="0"/>
            <wp:docPr id="237" name="Bild 23" descr="http://www.chemieunterricht.de/dc2/ch/images/chb-04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hemieunterricht.de/dc2/ch/images/chb-046b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681" cy="172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54D" w:rsidRPr="00C857C8" w:rsidRDefault="00D5554D" w:rsidP="00D5554D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 xml:space="preserve">Entsorgung: </w:t>
      </w:r>
      <w:r>
        <w:tab/>
      </w:r>
      <w:r>
        <w:tab/>
        <w:t>Die Bromreste werden mit Natriumthiosulfat versetzt und im Abfluss en</w:t>
      </w:r>
      <w:r>
        <w:t>t</w:t>
      </w:r>
      <w:r>
        <w:t>sorgt.</w:t>
      </w:r>
    </w:p>
    <w:p w:rsidR="00D5554D" w:rsidRDefault="00D5554D" w:rsidP="00D5554D">
      <w:pPr>
        <w:spacing w:line="276" w:lineRule="auto"/>
        <w:ind w:left="1980" w:hanging="1980"/>
        <w:jc w:val="left"/>
      </w:pPr>
      <w:r>
        <w:t>Literatur:</w:t>
      </w:r>
      <w:r>
        <w:tab/>
        <w:t xml:space="preserve">W. Glöckner, W. Jansen, R. G. </w:t>
      </w:r>
      <w:proofErr w:type="spellStart"/>
      <w:r>
        <w:t>Weissenhorn</w:t>
      </w:r>
      <w:proofErr w:type="spellEnd"/>
      <w:r>
        <w:t xml:space="preserve">, Handbuch der experimentellen Chemie, </w:t>
      </w:r>
      <w:proofErr w:type="spellStart"/>
      <w:r>
        <w:t>Sekundarbereich</w:t>
      </w:r>
      <w:proofErr w:type="spellEnd"/>
      <w:r>
        <w:t xml:space="preserve"> II, Band 9: Kohlenwasserstoffe, </w:t>
      </w:r>
      <w:proofErr w:type="spellStart"/>
      <w:r>
        <w:t>Aulis</w:t>
      </w:r>
      <w:proofErr w:type="spellEnd"/>
      <w:r>
        <w:t xml:space="preserve"> Verlag </w:t>
      </w:r>
      <w:proofErr w:type="spellStart"/>
      <w:r>
        <w:t>Deubner</w:t>
      </w:r>
      <w:proofErr w:type="spellEnd"/>
      <w:r>
        <w:t xml:space="preserve"> (2005), S. 85 f.</w:t>
      </w:r>
    </w:p>
    <w:p w:rsidR="00441602" w:rsidRPr="00441602" w:rsidRDefault="00D5554D" w:rsidP="00D5554D">
      <w:r>
        <w:pict>
          <v:shape id="_x0000_s1035" type="#_x0000_t202" style="width:462.45pt;height:60.9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5">
              <w:txbxContent>
                <w:p w:rsidR="00D5554D" w:rsidRPr="007728DF" w:rsidRDefault="00D5554D" w:rsidP="00D5554D">
                  <w:pPr>
                    <w:rPr>
                      <w:color w:val="auto"/>
                    </w:rPr>
                  </w:pPr>
                  <w:r w:rsidRPr="007728DF">
                    <w:rPr>
                      <w:b/>
                      <w:color w:val="auto"/>
                    </w:rPr>
                    <w:t xml:space="preserve">Unterrichtsanschlüsse </w:t>
                  </w:r>
                  <w:r w:rsidRPr="007728DF">
                    <w:rPr>
                      <w:color w:val="auto"/>
                    </w:rPr>
                    <w:t>Der Versuch kann in der Oberstufe zur Erarbeitung der radikalischen Substitution eingesetzt werden. Er muss von einem Lehrer durchgeführt werden, da die Ch</w:t>
                  </w:r>
                  <w:r w:rsidRPr="007728DF">
                    <w:rPr>
                      <w:color w:val="auto"/>
                    </w:rPr>
                    <w:t>e</w:t>
                  </w:r>
                  <w:r w:rsidRPr="007728DF">
                    <w:rPr>
                      <w:color w:val="auto"/>
                    </w:rPr>
                    <w:t>mikalien nicht von SuS verwendet werden dürfen.</w:t>
                  </w:r>
                </w:p>
              </w:txbxContent>
            </v:textbox>
            <w10:wrap type="none"/>
            <w10:anchorlock/>
          </v:shape>
        </w:pict>
      </w:r>
    </w:p>
    <w:sectPr w:rsidR="00441602" w:rsidRPr="00441602" w:rsidSect="00105256">
      <w:headerReference w:type="default" r:id="rId26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53B" w:rsidRDefault="0040053B" w:rsidP="009524CC">
      <w:pPr>
        <w:spacing w:after="0"/>
      </w:pPr>
      <w:r>
        <w:separator/>
      </w:r>
    </w:p>
  </w:endnote>
  <w:endnote w:type="continuationSeparator" w:id="0">
    <w:p w:rsidR="0040053B" w:rsidRDefault="0040053B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53B" w:rsidRDefault="0040053B" w:rsidP="009524CC">
      <w:pPr>
        <w:spacing w:after="0"/>
      </w:pPr>
      <w:r>
        <w:separator/>
      </w:r>
    </w:p>
  </w:footnote>
  <w:footnote w:type="continuationSeparator" w:id="0">
    <w:p w:rsidR="0040053B" w:rsidRDefault="0040053B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08425D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D5554D" w:rsidRPr="00D5554D">
              <w:rPr>
                <w:b/>
                <w:bCs/>
                <w:noProof/>
                <w:sz w:val="20"/>
                <w:szCs w:val="20"/>
              </w:rPr>
              <w:t>V 4 – Radikalische Substitution von</w:t>
            </w:r>
            <w:r w:rsidR="00D5554D">
              <w:rPr>
                <w:noProof/>
                <w:sz w:val="20"/>
                <w:szCs w:val="20"/>
              </w:rPr>
              <w:t xml:space="preserve"> Heptan mit Brom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08425D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D5554D">
            <w:rPr>
              <w:noProof/>
              <w:sz w:val="20"/>
              <w:szCs w:val="20"/>
            </w:rPr>
            <w:t>3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425D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3B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602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554D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4EFC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962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hyperlink" Target="http://de.wikipedia.org/wiki/H-_und_P-S%C3%A4tze" TargetMode="Externa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://de.wikipedia.org/wiki/H-_und_P-S%C3%A4tze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.wikipedia.org/wiki/H-_und_P-S%C3%A4tze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hyperlink" Target="http://de.wikipedia.org/wiki/H-_und_P-S%C3%A4tze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DF49-37F1-4CFF-846E-E79D28FE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Anne</cp:lastModifiedBy>
  <cp:revision>2</cp:revision>
  <cp:lastPrinted>2012-06-21T19:47:00Z</cp:lastPrinted>
  <dcterms:created xsi:type="dcterms:W3CDTF">2013-08-11T21:24:00Z</dcterms:created>
  <dcterms:modified xsi:type="dcterms:W3CDTF">2013-08-11T21:24:00Z</dcterms:modified>
</cp:coreProperties>
</file>