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873" w:rsidRDefault="00192873" w:rsidP="00192873">
      <w:pPr>
        <w:pStyle w:val="berschrift1"/>
        <w:numPr>
          <w:ilvl w:val="0"/>
          <w:numId w:val="0"/>
        </w:numPr>
      </w:pPr>
      <w:r>
        <w:rPr>
          <w:noProof/>
          <w:lang w:eastAsia="de-DE"/>
        </w:rPr>
        <w:pict>
          <v:shapetype id="_x0000_t202" coordsize="21600,21600" o:spt="202" path="m,l,21600r21600,l21600,xe">
            <v:stroke joinstyle="miter"/>
            <v:path gradientshapeok="t" o:connecttype="rect"/>
          </v:shapetype>
          <v:shape id="_x0000_s1042" type="#_x0000_t202" style="position:absolute;left:0;text-align:left;margin-left:-.05pt;margin-top:45.85pt;width:462.45pt;height:59.4pt;z-index:251660288;mso-width-relative:margin;mso-height-relative:margin" fillcolor="white [3201]" strokecolor="#4bacc6 [3208]" strokeweight="1pt">
            <v:stroke dashstyle="dash"/>
            <v:shadow color="#868686"/>
            <v:textbox style="mso-next-textbox:#_x0000_s1042">
              <w:txbxContent>
                <w:p w:rsidR="00192873" w:rsidRPr="00332EC3" w:rsidRDefault="00192873" w:rsidP="00192873">
                  <w:pPr>
                    <w:rPr>
                      <w:color w:val="auto"/>
                    </w:rPr>
                  </w:pPr>
                  <w:r w:rsidRPr="00332EC3">
                    <w:rPr>
                      <w:color w:val="auto"/>
                    </w:rPr>
                    <w:t xml:space="preserve">Der Versuch zeigt in einfacher Weise, dass mit der Kettenlänge der Alkane die Siedetemperatur steigt. Die SuS sollten hierzu Kenntnisse über intermolekulare Wechselwirkungen haben oder sie sich durch den Versuch erarbeiten. </w:t>
                  </w:r>
                </w:p>
              </w:txbxContent>
            </v:textbox>
            <w10:wrap type="square"/>
          </v:shape>
        </w:pict>
      </w:r>
      <w:bookmarkStart w:id="0" w:name="_Toc363494435"/>
      <w:r>
        <w:t>V 7 – Siedepunkte von Alkanen</w:t>
      </w:r>
      <w:bookmarkEnd w:id="0"/>
    </w:p>
    <w:p w:rsidR="00192873" w:rsidRDefault="00192873" w:rsidP="00192873"/>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192873" w:rsidRPr="009C5E28" w:rsidTr="00CE48AB">
        <w:tc>
          <w:tcPr>
            <w:tcW w:w="9322" w:type="dxa"/>
            <w:gridSpan w:val="9"/>
            <w:tcBorders>
              <w:bottom w:val="single" w:sz="4" w:space="0" w:color="4F81BD" w:themeColor="accent1"/>
            </w:tcBorders>
            <w:shd w:val="clear" w:color="auto" w:fill="4F81BD"/>
            <w:vAlign w:val="center"/>
          </w:tcPr>
          <w:p w:rsidR="00192873" w:rsidRPr="009C5E28" w:rsidRDefault="00192873" w:rsidP="00CE48AB">
            <w:pPr>
              <w:spacing w:after="0"/>
              <w:jc w:val="center"/>
              <w:rPr>
                <w:b/>
                <w:bCs/>
              </w:rPr>
            </w:pPr>
            <w:r w:rsidRPr="009C5E28">
              <w:rPr>
                <w:b/>
                <w:bCs/>
              </w:rPr>
              <w:t>Gefahrenstoffe</w:t>
            </w:r>
          </w:p>
        </w:tc>
      </w:tr>
      <w:tr w:rsidR="00192873" w:rsidRPr="009C5E28" w:rsidTr="00CE48AB">
        <w:trPr>
          <w:trHeight w:val="437"/>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spacing w:after="0" w:line="276" w:lineRule="auto"/>
              <w:jc w:val="center"/>
              <w:rPr>
                <w:b/>
                <w:bCs/>
              </w:rPr>
            </w:pPr>
            <w:r>
              <w:t>Pentan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spacing w:after="0"/>
              <w:jc w:val="center"/>
            </w:pPr>
            <w:r w:rsidRPr="009C5E28">
              <w:rPr>
                <w:sz w:val="20"/>
              </w:rPr>
              <w:t xml:space="preserve">H: </w:t>
            </w:r>
            <w:hyperlink r:id="rId8" w:anchor="H-S.C3.A4tze" w:tooltip="H- und P-Sätze" w:history="1">
              <w:r w:rsidRPr="009C5E28">
                <w:rPr>
                  <w:rStyle w:val="Hyperlink"/>
                  <w:color w:val="auto"/>
                  <w:sz w:val="20"/>
                </w:rPr>
                <w:t>332</w:t>
              </w:r>
            </w:hyperlink>
            <w:r w:rsidRPr="009C5E28">
              <w:rPr>
                <w:sz w:val="20"/>
              </w:rPr>
              <w:t>-</w:t>
            </w:r>
            <w:hyperlink r:id="rId9" w:anchor="H-S.C3.A4tze" w:tooltip="H- und P-Sätze" w:history="1">
              <w:r w:rsidRPr="009C5E28">
                <w:rPr>
                  <w:rStyle w:val="Hyperlink"/>
                  <w:color w:val="auto"/>
                  <w:sz w:val="20"/>
                </w:rPr>
                <w:t>302</w:t>
              </w:r>
            </w:hyperlink>
            <w:r w:rsidRPr="009C5E28">
              <w:rPr>
                <w:sz w:val="20"/>
              </w:rPr>
              <w:t>-</w:t>
            </w:r>
            <w:hyperlink r:id="rId10" w:anchor="H-S.C3.A4tze" w:tooltip="H- und P-Sätze" w:history="1">
              <w:r w:rsidRPr="009C5E28">
                <w:rPr>
                  <w:rStyle w:val="Hyperlink"/>
                  <w:color w:val="auto"/>
                  <w:sz w:val="20"/>
                </w:rPr>
                <w:t>314</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spacing w:after="0"/>
              <w:jc w:val="center"/>
            </w:pPr>
            <w:r w:rsidRPr="009C5E28">
              <w:rPr>
                <w:sz w:val="20"/>
              </w:rPr>
              <w:t xml:space="preserve">P: </w:t>
            </w:r>
            <w:hyperlink r:id="rId11" w:anchor="P-S.C3.A4tze" w:tooltip="H- und P-Sätze" w:history="1">
              <w:r w:rsidRPr="009C5E28">
                <w:rPr>
                  <w:rStyle w:val="Hyperlink"/>
                  <w:color w:val="auto"/>
                  <w:sz w:val="20"/>
                </w:rPr>
                <w:t>280</w:t>
              </w:r>
            </w:hyperlink>
            <w:r w:rsidRPr="009C5E28">
              <w:rPr>
                <w:sz w:val="20"/>
              </w:rPr>
              <w:t>-​</w:t>
            </w:r>
            <w:hyperlink r:id="rId12" w:anchor="P-S.C3.A4tze" w:tooltip="H- und P-Sätze" w:history="1">
              <w:r w:rsidRPr="009C5E28">
                <w:rPr>
                  <w:rStyle w:val="Hyperlink"/>
                  <w:color w:val="auto"/>
                  <w:sz w:val="20"/>
                </w:rPr>
                <w:t>301+330+331</w:t>
              </w:r>
            </w:hyperlink>
          </w:p>
        </w:tc>
      </w:tr>
      <w:tr w:rsidR="00192873" w:rsidRPr="009C5E28" w:rsidTr="00CE48AB">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spacing w:after="0" w:line="276" w:lineRule="auto"/>
              <w:jc w:val="center"/>
              <w:rPr>
                <w:bCs/>
                <w:sz w:val="20"/>
              </w:rPr>
            </w:pPr>
            <w:r>
              <w:t>Heptan</w:t>
            </w:r>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pStyle w:val="Beschriftung"/>
              <w:spacing w:after="0"/>
              <w:jc w:val="center"/>
              <w:rPr>
                <w:sz w:val="20"/>
              </w:rPr>
            </w:pPr>
            <w:r w:rsidRPr="009C5E28">
              <w:rPr>
                <w:sz w:val="20"/>
              </w:rPr>
              <w:t xml:space="preserve">H: </w:t>
            </w:r>
            <w:hyperlink r:id="rId13" w:anchor="H-S.C3.A4tze" w:tooltip="H- und P-Sätze" w:history="1">
              <w:r w:rsidRPr="009C5E28">
                <w:rPr>
                  <w:rStyle w:val="Hyperlink"/>
                  <w:color w:val="auto"/>
                  <w:sz w:val="20"/>
                </w:rPr>
                <w:t>332</w:t>
              </w:r>
            </w:hyperlink>
            <w:r w:rsidRPr="009C5E28">
              <w:rPr>
                <w:sz w:val="20"/>
              </w:rPr>
              <w:t>-</w:t>
            </w:r>
            <w:hyperlink r:id="rId14" w:anchor="H-S.C3.A4tze" w:tooltip="H- und P-Sätze" w:history="1">
              <w:r w:rsidRPr="009C5E28">
                <w:rPr>
                  <w:rStyle w:val="Hyperlink"/>
                  <w:color w:val="auto"/>
                  <w:sz w:val="20"/>
                </w:rPr>
                <w:t>312</w:t>
              </w:r>
            </w:hyperlink>
            <w:r w:rsidRPr="009C5E28">
              <w:rPr>
                <w:sz w:val="20"/>
              </w:rPr>
              <w:t>-</w:t>
            </w:r>
            <w:hyperlink r:id="rId15" w:anchor="H-S.C3.A4tze" w:tooltip="H- und P-Sätze" w:history="1">
              <w:r w:rsidRPr="009C5E28">
                <w:rPr>
                  <w:rStyle w:val="Hyperlink"/>
                  <w:color w:val="auto"/>
                  <w:sz w:val="20"/>
                </w:rPr>
                <w:t>302</w:t>
              </w:r>
            </w:hyperlink>
            <w:r w:rsidRPr="009C5E28">
              <w:rPr>
                <w:sz w:val="20"/>
              </w:rPr>
              <w:t>-</w:t>
            </w:r>
            <w:hyperlink r:id="rId16" w:anchor="H-S.C3.A4tze" w:tooltip="H- und P-Sätze" w:history="1">
              <w:r w:rsidRPr="009C5E28">
                <w:rPr>
                  <w:rStyle w:val="Hyperlink"/>
                  <w:color w:val="auto"/>
                  <w:sz w:val="20"/>
                </w:rPr>
                <w:t>412</w:t>
              </w:r>
            </w:hyperlink>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pStyle w:val="Beschriftung"/>
              <w:spacing w:after="0"/>
              <w:jc w:val="center"/>
              <w:rPr>
                <w:sz w:val="20"/>
              </w:rPr>
            </w:pPr>
            <w:r w:rsidRPr="009C5E28">
              <w:rPr>
                <w:sz w:val="20"/>
              </w:rPr>
              <w:t xml:space="preserve">P: </w:t>
            </w:r>
            <w:hyperlink r:id="rId17" w:anchor="P-S.C3.A4tze" w:tooltip="H- und P-Sätze" w:history="1">
              <w:r w:rsidRPr="009C5E28">
                <w:rPr>
                  <w:rStyle w:val="Hyperlink"/>
                  <w:color w:val="auto"/>
                  <w:sz w:val="20"/>
                </w:rPr>
                <w:t>273</w:t>
              </w:r>
            </w:hyperlink>
            <w:r w:rsidRPr="009C5E28">
              <w:rPr>
                <w:sz w:val="20"/>
              </w:rPr>
              <w:t>-​</w:t>
            </w:r>
            <w:hyperlink r:id="rId18" w:anchor="P-S.C3.A4tze" w:tooltip="H- und P-Sätze" w:history="1">
              <w:r w:rsidRPr="009C5E28">
                <w:rPr>
                  <w:rStyle w:val="Hyperlink"/>
                  <w:color w:val="auto"/>
                  <w:sz w:val="20"/>
                </w:rPr>
                <w:t>302+352</w:t>
              </w:r>
            </w:hyperlink>
          </w:p>
        </w:tc>
      </w:tr>
      <w:tr w:rsidR="00192873" w:rsidRPr="009C5E28" w:rsidTr="00CE48AB">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Default="00192873" w:rsidP="00CE48AB">
            <w:pPr>
              <w:spacing w:after="0" w:line="276" w:lineRule="auto"/>
              <w:jc w:val="center"/>
            </w:pPr>
            <w:proofErr w:type="spellStart"/>
            <w:r>
              <w:t>Octan</w:t>
            </w:r>
            <w:proofErr w:type="spellEnd"/>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pStyle w:val="Beschriftung"/>
              <w:spacing w:after="0"/>
              <w:jc w:val="center"/>
              <w:rPr>
                <w:sz w:val="20"/>
              </w:rPr>
            </w:pPr>
            <w:r>
              <w:rPr>
                <w:sz w:val="20"/>
              </w:rPr>
              <w:t>H: 225-304-315-336-410</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pStyle w:val="Beschriftung"/>
              <w:spacing w:after="0"/>
              <w:jc w:val="center"/>
              <w:rPr>
                <w:sz w:val="20"/>
              </w:rPr>
            </w:pPr>
            <w:r>
              <w:rPr>
                <w:sz w:val="20"/>
              </w:rPr>
              <w:t>P: 210-273-301+330+331-302+352</w:t>
            </w:r>
          </w:p>
        </w:tc>
      </w:tr>
      <w:tr w:rsidR="00192873" w:rsidRPr="009C5E28" w:rsidTr="00CE48AB">
        <w:trPr>
          <w:trHeight w:val="434"/>
        </w:trPr>
        <w:tc>
          <w:tcPr>
            <w:tcW w:w="302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Default="00192873" w:rsidP="00CE48AB">
            <w:pPr>
              <w:spacing w:after="0" w:line="276" w:lineRule="auto"/>
              <w:jc w:val="center"/>
            </w:pPr>
            <w:proofErr w:type="spellStart"/>
            <w:r>
              <w:t>Decan</w:t>
            </w:r>
            <w:proofErr w:type="spellEnd"/>
          </w:p>
        </w:tc>
        <w:tc>
          <w:tcPr>
            <w:tcW w:w="3177"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pStyle w:val="Beschriftung"/>
              <w:spacing w:after="0"/>
              <w:jc w:val="center"/>
              <w:rPr>
                <w:sz w:val="20"/>
              </w:rPr>
            </w:pPr>
            <w:r>
              <w:rPr>
                <w:sz w:val="20"/>
              </w:rPr>
              <w:t>H: 226-304</w:t>
            </w:r>
          </w:p>
        </w:tc>
        <w:tc>
          <w:tcPr>
            <w:tcW w:w="3118"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192873" w:rsidRPr="009C5E28" w:rsidRDefault="00192873" w:rsidP="00CE48AB">
            <w:pPr>
              <w:pStyle w:val="Beschriftung"/>
              <w:spacing w:after="0"/>
              <w:jc w:val="center"/>
              <w:rPr>
                <w:sz w:val="20"/>
              </w:rPr>
            </w:pPr>
            <w:r>
              <w:rPr>
                <w:sz w:val="20"/>
              </w:rPr>
              <w:t>P: 210-260-262-301+310-331</w:t>
            </w:r>
          </w:p>
        </w:tc>
      </w:tr>
      <w:tr w:rsidR="00192873" w:rsidRPr="009C5E28" w:rsidTr="00CE48AB">
        <w:tc>
          <w:tcPr>
            <w:tcW w:w="1009" w:type="dxa"/>
            <w:tcBorders>
              <w:top w:val="single" w:sz="4" w:space="0" w:color="4F81BD" w:themeColor="accent1"/>
              <w:left w:val="single" w:sz="8" w:space="0" w:color="4F81BD"/>
              <w:bottom w:val="single" w:sz="8" w:space="0" w:color="4F81BD"/>
            </w:tcBorders>
            <w:shd w:val="clear" w:color="auto" w:fill="auto"/>
            <w:vAlign w:val="center"/>
          </w:tcPr>
          <w:p w:rsidR="00192873" w:rsidRPr="009C5E28" w:rsidRDefault="00192873" w:rsidP="00CE48AB">
            <w:pPr>
              <w:spacing w:after="0"/>
              <w:jc w:val="center"/>
              <w:rPr>
                <w:b/>
                <w:bCs/>
              </w:rPr>
            </w:pPr>
            <w:r>
              <w:rPr>
                <w:b/>
                <w:noProof/>
                <w:lang w:eastAsia="de-DE"/>
              </w:rPr>
              <w:drawing>
                <wp:inline distT="0" distB="0" distL="0" distR="0">
                  <wp:extent cx="504190" cy="504190"/>
                  <wp:effectExtent l="0" t="0" r="0" b="0"/>
                  <wp:docPr id="2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04190" cy="504190"/>
                  <wp:effectExtent l="0" t="0" r="0" b="0"/>
                  <wp:docPr id="9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26211" cy="526211"/>
                  <wp:effectExtent l="0" t="0" r="7189" b="0"/>
                  <wp:docPr id="109" name="Bild 18" descr="C:\Users\Anne\AppData\Local\Temp\Rar$DI05.476\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ne\AppData\Local\Temp\Rar$DI05.476\Brennbar.png"/>
                          <pic:cNvPicPr>
                            <a:picLocks noChangeAspect="1" noChangeArrowheads="1"/>
                          </pic:cNvPicPr>
                        </pic:nvPicPr>
                        <pic:blipFill>
                          <a:blip r:embed="rId21"/>
                          <a:srcRect/>
                          <a:stretch>
                            <a:fillRect/>
                          </a:stretch>
                        </pic:blipFill>
                        <pic:spPr bwMode="auto">
                          <a:xfrm>
                            <a:off x="0" y="0"/>
                            <a:ext cx="528739" cy="528739"/>
                          </a:xfrm>
                          <a:prstGeom prst="rect">
                            <a:avLst/>
                          </a:prstGeom>
                          <a:noFill/>
                          <a:ln w="9525">
                            <a:noFill/>
                            <a:miter lim="800000"/>
                            <a:headEnd/>
                            <a:tailEnd/>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04190" cy="504190"/>
                  <wp:effectExtent l="0" t="0" r="0" b="0"/>
                  <wp:docPr id="10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04190" cy="504190"/>
                  <wp:effectExtent l="0" t="0" r="0" b="0"/>
                  <wp:docPr id="10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19382" cy="519382"/>
                  <wp:effectExtent l="19050" t="0" r="0" b="0"/>
                  <wp:docPr id="110" name="Bild 21" descr="C:\Users\Anne\AppData\Local\Temp\Rar$DI09.058\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e\AppData\Local\Temp\Rar$DI09.058\Gesundheitsgefahr.png"/>
                          <pic:cNvPicPr>
                            <a:picLocks noChangeAspect="1" noChangeArrowheads="1"/>
                          </pic:cNvPicPr>
                        </pic:nvPicPr>
                        <pic:blipFill>
                          <a:blip r:embed="rId24"/>
                          <a:srcRect/>
                          <a:stretch>
                            <a:fillRect/>
                          </a:stretch>
                        </pic:blipFill>
                        <pic:spPr bwMode="auto">
                          <a:xfrm>
                            <a:off x="0" y="0"/>
                            <a:ext cx="521572" cy="521572"/>
                          </a:xfrm>
                          <a:prstGeom prst="rect">
                            <a:avLst/>
                          </a:prstGeom>
                          <a:noFill/>
                          <a:ln w="9525">
                            <a:noFill/>
                            <a:miter lim="800000"/>
                            <a:headEnd/>
                            <a:tailEnd/>
                          </a:ln>
                        </pic:spPr>
                      </pic:pic>
                    </a:graphicData>
                  </a:graphic>
                </wp:inline>
              </w:drawing>
            </w:r>
          </w:p>
        </w:tc>
        <w:tc>
          <w:tcPr>
            <w:tcW w:w="975"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04190" cy="504190"/>
                  <wp:effectExtent l="0" t="0" r="0" b="0"/>
                  <wp:docPr id="10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4" w:space="0" w:color="4F81BD" w:themeColor="accent1"/>
              <w:bottom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11175" cy="511175"/>
                  <wp:effectExtent l="0" t="0" r="0" b="0"/>
                  <wp:docPr id="10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4" w:space="0" w:color="4F81BD" w:themeColor="accent1"/>
              <w:bottom w:val="single" w:sz="8" w:space="0" w:color="4F81BD"/>
              <w:right w:val="single" w:sz="8" w:space="0" w:color="4F81BD"/>
            </w:tcBorders>
            <w:shd w:val="clear" w:color="auto" w:fill="auto"/>
            <w:vAlign w:val="center"/>
          </w:tcPr>
          <w:p w:rsidR="00192873" w:rsidRPr="009C5E28" w:rsidRDefault="00192873" w:rsidP="00CE48AB">
            <w:pPr>
              <w:spacing w:after="0"/>
              <w:jc w:val="center"/>
            </w:pPr>
            <w:r>
              <w:rPr>
                <w:noProof/>
                <w:lang w:eastAsia="de-DE"/>
              </w:rPr>
              <w:drawing>
                <wp:inline distT="0" distB="0" distL="0" distR="0">
                  <wp:extent cx="552091" cy="552091"/>
                  <wp:effectExtent l="19050" t="0" r="359" b="0"/>
                  <wp:docPr id="111" name="Bild 19" descr="C:\Users\Anne\AppData\Local\Temp\Rar$DI01.577\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ne\AppData\Local\Temp\Rar$DI01.577\Umweltgefahr.png"/>
                          <pic:cNvPicPr>
                            <a:picLocks noChangeAspect="1" noChangeArrowheads="1"/>
                          </pic:cNvPicPr>
                        </pic:nvPicPr>
                        <pic:blipFill>
                          <a:blip r:embed="rId27"/>
                          <a:srcRect/>
                          <a:stretch>
                            <a:fillRect/>
                          </a:stretch>
                        </pic:blipFill>
                        <pic:spPr bwMode="auto">
                          <a:xfrm>
                            <a:off x="0" y="0"/>
                            <a:ext cx="555719" cy="555719"/>
                          </a:xfrm>
                          <a:prstGeom prst="rect">
                            <a:avLst/>
                          </a:prstGeom>
                          <a:noFill/>
                          <a:ln w="9525">
                            <a:noFill/>
                            <a:miter lim="800000"/>
                            <a:headEnd/>
                            <a:tailEnd/>
                          </a:ln>
                        </pic:spPr>
                      </pic:pic>
                    </a:graphicData>
                  </a:graphic>
                </wp:inline>
              </w:drawing>
            </w:r>
          </w:p>
        </w:tc>
      </w:tr>
    </w:tbl>
    <w:p w:rsidR="00192873" w:rsidRDefault="00192873" w:rsidP="00192873">
      <w:pPr>
        <w:tabs>
          <w:tab w:val="left" w:pos="1701"/>
          <w:tab w:val="left" w:pos="1985"/>
        </w:tabs>
        <w:ind w:left="1980" w:hanging="1980"/>
      </w:pPr>
    </w:p>
    <w:p w:rsidR="00192873" w:rsidRDefault="00192873" w:rsidP="00192873">
      <w:pPr>
        <w:tabs>
          <w:tab w:val="left" w:pos="1701"/>
          <w:tab w:val="left" w:pos="1985"/>
        </w:tabs>
        <w:ind w:left="1980" w:hanging="1980"/>
      </w:pPr>
      <w:r>
        <w:t xml:space="preserve">Materialien: </w:t>
      </w:r>
      <w:r>
        <w:tab/>
      </w:r>
      <w:r>
        <w:tab/>
      </w:r>
      <w:r>
        <w:tab/>
      </w:r>
      <w:proofErr w:type="spellStart"/>
      <w:r>
        <w:t>Ölbad</w:t>
      </w:r>
      <w:proofErr w:type="spellEnd"/>
      <w:r>
        <w:t>, Magnetrührer, Stativmaterial, Reagenzgläser, Thermometer</w:t>
      </w:r>
    </w:p>
    <w:p w:rsidR="00192873" w:rsidRDefault="00192873" w:rsidP="00192873">
      <w:pPr>
        <w:tabs>
          <w:tab w:val="left" w:pos="1701"/>
          <w:tab w:val="left" w:pos="1985"/>
        </w:tabs>
        <w:ind w:left="1980" w:hanging="1980"/>
      </w:pPr>
      <w:r>
        <w:t>Chemikalien:</w:t>
      </w:r>
      <w:r>
        <w:tab/>
      </w:r>
      <w:r>
        <w:tab/>
        <w:t xml:space="preserve">Pentan, Heptan, </w:t>
      </w:r>
      <w:proofErr w:type="spellStart"/>
      <w:r>
        <w:t>Octan</w:t>
      </w:r>
      <w:proofErr w:type="spellEnd"/>
      <w:r>
        <w:t xml:space="preserve">, </w:t>
      </w:r>
      <w:proofErr w:type="spellStart"/>
      <w:r>
        <w:t>Decan</w:t>
      </w:r>
      <w:proofErr w:type="spellEnd"/>
    </w:p>
    <w:p w:rsidR="00192873" w:rsidRDefault="00192873" w:rsidP="00192873">
      <w:pPr>
        <w:tabs>
          <w:tab w:val="left" w:pos="1701"/>
          <w:tab w:val="left" w:pos="1985"/>
        </w:tabs>
        <w:ind w:left="2025" w:hanging="2025"/>
      </w:pPr>
      <w:r>
        <w:t xml:space="preserve">Durchführung: </w:t>
      </w:r>
      <w:r>
        <w:tab/>
      </w:r>
      <w:r>
        <w:tab/>
      </w:r>
      <w:r>
        <w:tab/>
        <w:t xml:space="preserve">Die Reagenzgläser werden mit wenigen </w:t>
      </w:r>
      <w:proofErr w:type="spellStart"/>
      <w:r>
        <w:t>mL</w:t>
      </w:r>
      <w:proofErr w:type="spellEnd"/>
      <w:r>
        <w:t xml:space="preserve"> der Alkane </w:t>
      </w:r>
      <w:proofErr w:type="spellStart"/>
      <w:r>
        <w:t>befüllt</w:t>
      </w:r>
      <w:proofErr w:type="spellEnd"/>
      <w:r>
        <w:t xml:space="preserve"> und in ein </w:t>
      </w:r>
      <w:proofErr w:type="spellStart"/>
      <w:r>
        <w:t>Ölbad</w:t>
      </w:r>
      <w:proofErr w:type="spellEnd"/>
      <w:r>
        <w:t xml:space="preserve"> gestellt. Danach wird das </w:t>
      </w:r>
      <w:proofErr w:type="spellStart"/>
      <w:r>
        <w:t>Ölbad</w:t>
      </w:r>
      <w:proofErr w:type="spellEnd"/>
      <w:r>
        <w:t xml:space="preserve"> langsam erhitzt und die Temperat</w:t>
      </w:r>
      <w:r>
        <w:t>u</w:t>
      </w:r>
      <w:r>
        <w:t>ren beim Sieden der Alkane notiert.</w:t>
      </w:r>
    </w:p>
    <w:p w:rsidR="00192873" w:rsidRDefault="00192873" w:rsidP="00192873">
      <w:pPr>
        <w:tabs>
          <w:tab w:val="left" w:pos="1701"/>
          <w:tab w:val="left" w:pos="1985"/>
        </w:tabs>
        <w:ind w:left="2025" w:hanging="2025"/>
        <w:jc w:val="center"/>
      </w:pPr>
      <w:r>
        <w:rPr>
          <w:noProof/>
          <w:lang w:eastAsia="de-DE"/>
        </w:rPr>
        <w:drawing>
          <wp:inline distT="0" distB="0" distL="0" distR="0">
            <wp:extent cx="2517116" cy="2529494"/>
            <wp:effectExtent l="19050" t="0" r="0" b="0"/>
            <wp:docPr id="104" name="Bild 21" descr="F:\DCIM\100CANON\IMG_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IM\100CANON\IMG_1410.JPG"/>
                    <pic:cNvPicPr>
                      <a:picLocks noChangeAspect="1" noChangeArrowheads="1"/>
                    </pic:cNvPicPr>
                  </pic:nvPicPr>
                  <pic:blipFill>
                    <a:blip r:embed="rId28"/>
                    <a:srcRect/>
                    <a:stretch>
                      <a:fillRect/>
                    </a:stretch>
                  </pic:blipFill>
                  <pic:spPr bwMode="auto">
                    <a:xfrm>
                      <a:off x="0" y="0"/>
                      <a:ext cx="2518258" cy="2530642"/>
                    </a:xfrm>
                    <a:prstGeom prst="rect">
                      <a:avLst/>
                    </a:prstGeom>
                    <a:noFill/>
                    <a:ln w="9525">
                      <a:noFill/>
                      <a:miter lim="800000"/>
                      <a:headEnd/>
                      <a:tailEnd/>
                    </a:ln>
                  </pic:spPr>
                </pic:pic>
              </a:graphicData>
            </a:graphic>
          </wp:inline>
        </w:drawing>
      </w:r>
    </w:p>
    <w:p w:rsidR="00192873" w:rsidRDefault="00192873" w:rsidP="00192873">
      <w:pPr>
        <w:pStyle w:val="Beschriftung"/>
        <w:jc w:val="left"/>
      </w:pPr>
      <w:r>
        <w:lastRenderedPageBreak/>
        <w:t xml:space="preserve">Abb. 8 - </w:t>
      </w:r>
      <w:r>
        <w:rPr>
          <w:noProof/>
        </w:rPr>
        <w:t xml:space="preserve"> Versuchsaufbau zur Ermittlung der Siedepunkte der Alkane.</w:t>
      </w:r>
    </w:p>
    <w:p w:rsidR="00192873" w:rsidRPr="00966D5A" w:rsidRDefault="00192873" w:rsidP="00192873">
      <w:pPr>
        <w:tabs>
          <w:tab w:val="left" w:pos="1701"/>
          <w:tab w:val="left" w:pos="1985"/>
        </w:tabs>
        <w:ind w:left="1980" w:hanging="1980"/>
      </w:pPr>
      <w:r>
        <w:t>Beobachtung:</w:t>
      </w:r>
      <w:r>
        <w:tab/>
      </w:r>
      <w:r>
        <w:tab/>
      </w:r>
      <w:r>
        <w:tab/>
        <w:t>Folgende Siedepunkte wurden ermittelt (die Literaturwerte sind in Kla</w:t>
      </w:r>
      <w:r>
        <w:t>m</w:t>
      </w:r>
      <w:r>
        <w:t xml:space="preserve">mern notiert): </w:t>
      </w:r>
      <w:r w:rsidRPr="00966D5A">
        <w:t xml:space="preserve">Pentan: 35 °C (36 °C); Heptan: 98 °C (98 °C); </w:t>
      </w:r>
      <w:proofErr w:type="spellStart"/>
      <w:r w:rsidRPr="00966D5A">
        <w:t>Octan</w:t>
      </w:r>
      <w:proofErr w:type="spellEnd"/>
      <w:r w:rsidRPr="00966D5A">
        <w:t xml:space="preserve">: 130 °C (126 °C): </w:t>
      </w:r>
      <w:proofErr w:type="spellStart"/>
      <w:r w:rsidRPr="00966D5A">
        <w:t>Decan</w:t>
      </w:r>
      <w:proofErr w:type="spellEnd"/>
      <w:r w:rsidRPr="00966D5A">
        <w:t>: 173 °C (174 °C)</w:t>
      </w:r>
    </w:p>
    <w:p w:rsidR="00192873" w:rsidRDefault="00192873" w:rsidP="00192873">
      <w:pPr>
        <w:tabs>
          <w:tab w:val="left" w:pos="1701"/>
          <w:tab w:val="left" w:pos="1985"/>
        </w:tabs>
        <w:ind w:left="1980" w:hanging="1980"/>
      </w:pPr>
      <w:r w:rsidRPr="00966D5A">
        <w:tab/>
      </w:r>
      <w:r w:rsidRPr="00966D5A">
        <w:rPr>
          <w:noProof/>
          <w:lang w:eastAsia="de-DE"/>
        </w:rPr>
        <w:drawing>
          <wp:inline distT="0" distB="0" distL="0" distR="0">
            <wp:extent cx="4466686" cy="2487319"/>
            <wp:effectExtent l="19050" t="0" r="10064" b="8231"/>
            <wp:docPr id="105"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92873" w:rsidRDefault="00192873" w:rsidP="00192873">
      <w:pPr>
        <w:tabs>
          <w:tab w:val="left" w:pos="1701"/>
          <w:tab w:val="left" w:pos="1985"/>
        </w:tabs>
        <w:ind w:left="1980" w:hanging="1980"/>
      </w:pPr>
      <w:r>
        <w:t>Deutung:</w:t>
      </w:r>
      <w:r>
        <w:tab/>
      </w:r>
      <w:r>
        <w:tab/>
      </w:r>
      <w:r>
        <w:tab/>
        <w:t>Die Siedepunkte steigen mit zunehmender Anzahl der C-Atome, da die Van-der-Waals-Kräfte zwischen den Kohlenwasserstoffketten zunehmen.</w:t>
      </w:r>
    </w:p>
    <w:p w:rsidR="00192873" w:rsidRDefault="00192873" w:rsidP="00192873">
      <w:pPr>
        <w:tabs>
          <w:tab w:val="left" w:pos="1701"/>
          <w:tab w:val="left" w:pos="1985"/>
        </w:tabs>
        <w:ind w:left="1980" w:hanging="1980"/>
        <w:rPr>
          <w:rFonts w:eastAsiaTheme="minorEastAsia"/>
        </w:rPr>
      </w:pPr>
      <w:r>
        <w:t>Entsorgung:</w:t>
      </w:r>
      <w:r>
        <w:tab/>
      </w:r>
      <w:r>
        <w:tab/>
        <w:t>Die Alkane werden vollständig verdampft.</w:t>
      </w:r>
    </w:p>
    <w:p w:rsidR="00192873" w:rsidRDefault="00192873" w:rsidP="00192873">
      <w:pPr>
        <w:spacing w:line="276" w:lineRule="auto"/>
        <w:jc w:val="left"/>
      </w:pPr>
      <w:r>
        <w:t>Literatur:</w:t>
      </w:r>
      <w:r>
        <w:tab/>
      </w:r>
      <w:r>
        <w:tab/>
        <w:t>-</w:t>
      </w:r>
    </w:p>
    <w:p w:rsidR="00441602" w:rsidRPr="00441602" w:rsidRDefault="00192873" w:rsidP="00192873">
      <w:pPr>
        <w:tabs>
          <w:tab w:val="left" w:pos="1701"/>
          <w:tab w:val="left" w:pos="1985"/>
        </w:tabs>
        <w:ind w:left="1980" w:hanging="1980"/>
      </w:pPr>
      <w:r>
        <w:pict>
          <v:shape id="_x0000_s1041" type="#_x0000_t202" style="width:462.45pt;height:41.75pt;mso-position-horizontal-relative:char;mso-position-vertical-relative:line;mso-width-relative:margin;mso-height-relative:margin" fillcolor="white [3201]" strokecolor="#c0504d [3205]" strokeweight="1pt">
            <v:stroke dashstyle="dash"/>
            <v:shadow color="#868686"/>
            <v:textbox style="mso-next-textbox:#_x0000_s1041">
              <w:txbxContent>
                <w:p w:rsidR="00192873" w:rsidRPr="00332EC3" w:rsidRDefault="00192873" w:rsidP="00192873">
                  <w:pPr>
                    <w:rPr>
                      <w:color w:val="auto"/>
                    </w:rPr>
                  </w:pPr>
                  <w:r w:rsidRPr="00332EC3">
                    <w:rPr>
                      <w:b/>
                      <w:color w:val="auto"/>
                    </w:rPr>
                    <w:t xml:space="preserve">Unterrichtsanschlüsse </w:t>
                  </w:r>
                  <w:r w:rsidRPr="00332EC3">
                    <w:rPr>
                      <w:color w:val="auto"/>
                    </w:rPr>
                    <w:t xml:space="preserve">Der Versuch dient als Einführung in die Eigenschaften der Alkane. Alternativ können auch andere flüssige Alkane verwendet werden. </w:t>
                  </w:r>
                </w:p>
              </w:txbxContent>
            </v:textbox>
            <w10:wrap type="none"/>
            <w10:anchorlock/>
          </v:shape>
        </w:pict>
      </w:r>
    </w:p>
    <w:sectPr w:rsidR="00441602" w:rsidRPr="00441602" w:rsidSect="00105256">
      <w:headerReference w:type="default" r:id="rId30"/>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DA8" w:rsidRDefault="00956DA8" w:rsidP="009524CC">
      <w:pPr>
        <w:spacing w:after="0"/>
      </w:pPr>
      <w:r>
        <w:separator/>
      </w:r>
    </w:p>
  </w:endnote>
  <w:endnote w:type="continuationSeparator" w:id="0">
    <w:p w:rsidR="00956DA8" w:rsidRDefault="00956DA8"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DA8" w:rsidRDefault="00956DA8" w:rsidP="009524CC">
      <w:pPr>
        <w:spacing w:after="0"/>
      </w:pPr>
      <w:r>
        <w:separator/>
      </w:r>
    </w:p>
  </w:footnote>
  <w:footnote w:type="continuationSeparator" w:id="0">
    <w:p w:rsidR="00956DA8" w:rsidRDefault="00956DA8"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08425D" w:rsidP="00BD7F16">
          <w:pPr>
            <w:pStyle w:val="Kopfzeile"/>
            <w:tabs>
              <w:tab w:val="clear" w:pos="4680"/>
              <w:tab w:val="left" w:pos="0"/>
              <w:tab w:val="center" w:pos="284"/>
              <w:tab w:val="left" w:pos="8789"/>
            </w:tabs>
            <w:rPr>
              <w:sz w:val="20"/>
              <w:szCs w:val="20"/>
            </w:rPr>
          </w:pPr>
          <w:fldSimple w:instr=" STYLEREF  &quot;Überschrift 1&quot;  \* MERGEFORMAT ">
            <w:r w:rsidR="00192873" w:rsidRPr="00192873">
              <w:rPr>
                <w:b/>
                <w:bCs/>
                <w:noProof/>
                <w:sz w:val="20"/>
                <w:szCs w:val="20"/>
              </w:rPr>
              <w:t>V 7 – Siedepunkte von Alkanen</w:t>
            </w:r>
          </w:fldSimple>
        </w:p>
      </w:tc>
      <w:tc>
        <w:tcPr>
          <w:tcW w:w="695" w:type="dxa"/>
          <w:tcBorders>
            <w:bottom w:val="single" w:sz="4" w:space="0" w:color="auto"/>
          </w:tcBorders>
          <w:shd w:val="clear" w:color="auto" w:fill="auto"/>
        </w:tcPr>
        <w:p w:rsidR="00501F12" w:rsidRPr="00BD7F16" w:rsidRDefault="0008425D"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192873">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425D"/>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873"/>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602"/>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5FB6"/>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DA8"/>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554D"/>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4EFC"/>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962"/>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103"/>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wikipedia.org/wiki/H-_und_P-S%C3%A4tze" TargetMode="External"/><Relationship Id="rId13" Type="http://schemas.openxmlformats.org/officeDocument/2006/relationships/hyperlink" Target="http://de.wikipedia.org/wiki/H-_und_P-S%C3%A4tze" TargetMode="External"/><Relationship Id="rId18" Type="http://schemas.openxmlformats.org/officeDocument/2006/relationships/hyperlink" Target="http://de.wikipedia.org/wiki/H-_und_P-S%C3%A4tz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de.wikipedia.org/wiki/H-_und_P-S%C3%A4tze" TargetMode="External"/><Relationship Id="rId17" Type="http://schemas.openxmlformats.org/officeDocument/2006/relationships/hyperlink" Target="http://de.wikipedia.org/wiki/H-_und_P-S%C3%A4tze" TargetMode="External"/><Relationship Id="rId25" Type="http://schemas.openxmlformats.org/officeDocument/2006/relationships/image" Target="media/image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de.wikipedia.org/wiki/H-_und_P-S%C3%A4tze" TargetMode="External"/><Relationship Id="rId20" Type="http://schemas.openxmlformats.org/officeDocument/2006/relationships/image" Target="media/image2.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wikipedia.org/wiki/H-_und_P-S%C3%A4tze"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de.wikipedia.org/wiki/H-_und_P-S%C3%A4tze"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e.wikipedia.org/wiki/H-_und_P-S%C3%A4tze" TargetMode="External"/><Relationship Id="rId14" Type="http://schemas.openxmlformats.org/officeDocument/2006/relationships/hyperlink" Target="http://de.wikipedia.org/wiki/H-_und_P-S%C3%A4tze"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sz="1200"/>
            </a:pPr>
            <a:r>
              <a:rPr lang="en-US" sz="1200"/>
              <a:t>Siedepunkte von Alkanen</a:t>
            </a:r>
          </a:p>
        </c:rich>
      </c:tx>
    </c:title>
    <c:plotArea>
      <c:layout>
        <c:manualLayout>
          <c:layoutTarget val="inner"/>
          <c:xMode val="edge"/>
          <c:yMode val="edge"/>
          <c:x val="0.12703080451714641"/>
          <c:y val="0.14069961982632181"/>
          <c:w val="0.83798833880190449"/>
          <c:h val="0.68731363925662459"/>
        </c:manualLayout>
      </c:layout>
      <c:scatterChart>
        <c:scatterStyle val="smoothMarker"/>
        <c:ser>
          <c:idx val="0"/>
          <c:order val="0"/>
          <c:xVal>
            <c:numRef>
              <c:f>Tabelle1!$A$1:$A$4</c:f>
              <c:numCache>
                <c:formatCode>General</c:formatCode>
                <c:ptCount val="4"/>
                <c:pt idx="0">
                  <c:v>5</c:v>
                </c:pt>
                <c:pt idx="1">
                  <c:v>7</c:v>
                </c:pt>
                <c:pt idx="2">
                  <c:v>8</c:v>
                </c:pt>
                <c:pt idx="3">
                  <c:v>10</c:v>
                </c:pt>
              </c:numCache>
            </c:numRef>
          </c:xVal>
          <c:yVal>
            <c:numRef>
              <c:f>Tabelle1!$B$1:$B$4</c:f>
              <c:numCache>
                <c:formatCode>General</c:formatCode>
                <c:ptCount val="4"/>
                <c:pt idx="0">
                  <c:v>35</c:v>
                </c:pt>
                <c:pt idx="1">
                  <c:v>98</c:v>
                </c:pt>
                <c:pt idx="2">
                  <c:v>130</c:v>
                </c:pt>
                <c:pt idx="3">
                  <c:v>173</c:v>
                </c:pt>
              </c:numCache>
            </c:numRef>
          </c:yVal>
          <c:smooth val="1"/>
        </c:ser>
        <c:axId val="95011968"/>
        <c:axId val="95013888"/>
      </c:scatterChart>
      <c:valAx>
        <c:axId val="95011968"/>
        <c:scaling>
          <c:orientation val="minMax"/>
          <c:max val="10"/>
          <c:min val="5"/>
        </c:scaling>
        <c:axPos val="b"/>
        <c:title>
          <c:tx>
            <c:rich>
              <a:bodyPr/>
              <a:lstStyle/>
              <a:p>
                <a:pPr>
                  <a:defRPr/>
                </a:pPr>
                <a:r>
                  <a:rPr lang="en-US" b="0"/>
                  <a:t>Anzahl der C-Atome</a:t>
                </a:r>
              </a:p>
            </c:rich>
          </c:tx>
        </c:title>
        <c:numFmt formatCode="General" sourceLinked="1"/>
        <c:majorTickMark val="none"/>
        <c:tickLblPos val="nextTo"/>
        <c:crossAx val="95013888"/>
        <c:crosses val="autoZero"/>
        <c:crossBetween val="midCat"/>
      </c:valAx>
      <c:valAx>
        <c:axId val="95013888"/>
        <c:scaling>
          <c:orientation val="minMax"/>
        </c:scaling>
        <c:axPos val="l"/>
        <c:majorGridlines/>
        <c:title>
          <c:tx>
            <c:rich>
              <a:bodyPr/>
              <a:lstStyle/>
              <a:p>
                <a:pPr>
                  <a:defRPr/>
                </a:pPr>
                <a:r>
                  <a:rPr lang="en-US" b="0"/>
                  <a:t>Siedetemperatur [°C]</a:t>
                </a:r>
              </a:p>
            </c:rich>
          </c:tx>
        </c:title>
        <c:numFmt formatCode="General" sourceLinked="1"/>
        <c:majorTickMark val="none"/>
        <c:tickLblPos val="nextTo"/>
        <c:crossAx val="95011968"/>
        <c:crosses val="autoZero"/>
        <c:crossBetween val="midCat"/>
      </c:valAx>
    </c:plotArea>
    <c:plotVisOnly val="1"/>
  </c:chart>
  <c:externalData r:id="rId1"/>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01140-50A7-4539-AA36-D25505BD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1897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2013-08-11T21:27:00Z</dcterms:created>
  <dcterms:modified xsi:type="dcterms:W3CDTF">2013-08-11T21:27:00Z</dcterms:modified>
</cp:coreProperties>
</file>